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type="auto" w:w="0"/>
        <w:tblLayout w:type="fixed"/>
        <w:tblLook w:firstColumn="1" w:firstRow="1" w:lastColumn="0" w:lastRow="0" w:noHBand="0" w:noVBand="1" w:val="04A0"/>
      </w:tblPr>
      <w:tblGrid>
        <w:gridCol w:w="10080"/>
      </w:tblGrid>
      <w:tr>
        <w:tc>
          <w:tcPr>
            <w:tcW w:type="dxa" w:w="10080"/>
            <w:shd w:fill="1F2F4F"/>
          </w:tcPr>
          <w:p>
            <w:pPr>
              <w:spacing w:after="40"/>
            </w:pPr>
            <w:r/>
            <w:r>
              <w:rPr>
                <w:rFonts w:ascii="Calibri" w:hAnsi="Calibri"/>
                <w:b/>
                <w:color w:val="FFFFFF"/>
                <w:sz w:val="34"/>
              </w:rPr>
              <w:t>ANNUAL REVENUE OPERATING PLAN</w:t>
            </w:r>
          </w:p>
          <w:p>
            <w:pPr>
              <w:spacing w:after="20"/>
            </w:pPr>
            <w:r>
              <w:rPr>
                <w:rFonts w:ascii="Calibri" w:hAnsi="Calibri"/>
                <w:color w:val="FFFFFF"/>
                <w:sz w:val="22"/>
              </w:rPr>
              <w:t>The Master Annual Plan for Managing the Revenue Engine</w:t>
            </w:r>
          </w:p>
          <w:p>
            <w:pPr>
              <w:spacing w:after="0"/>
            </w:pPr>
            <w:r>
              <w:rPr>
                <w:rFonts w:ascii="Calibri" w:hAnsi="Calibri"/>
                <w:i/>
                <w:color w:val="B28A42"/>
                <w:sz w:val="20"/>
              </w:rPr>
              <w:t>Turn the annual growth goal into targets, ownership, assumptions, initiatives, and measurable execution.</w:t>
            </w:r>
          </w:p>
        </w:tc>
      </w:tr>
    </w:tbl>
    <w:p>
      <w:pPr>
        <w:spacing w:after="20"/>
      </w:pPr>
    </w:p>
    <w:p>
      <w:pPr>
        <w:spacing w:after="100"/>
      </w:pPr>
      <w:r>
        <w:t>The Annual Revenue Operating Plan is the central management document for REVOS. It converts the company’s annual revenue objective into a practical operating plan that leadership can execute, measure, review, and adjust throughout the year.</w:t>
      </w:r>
    </w:p>
    <w:p>
      <w:pPr>
        <w:spacing w:after="100"/>
      </w:pPr>
      <w:r>
        <w:t>Use it to align Sales, Marketing, Customer Success, RevOps, Finance, and executive leadership around one set of revenue targets, channel priorities, assumptions, initiatives, owners, budgets, milestones, and performance expectations.</w:t>
      </w: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Instructions</w:t>
            </w:r>
          </w:p>
          <w:p>
            <w:pPr>
              <w:spacing w:after="0"/>
            </w:pPr>
            <w:r>
              <w:rPr>
                <w:rFonts w:ascii="Calibri" w:hAnsi="Calibri"/>
                <w:i/>
                <w:color w:val="777777"/>
                <w:sz w:val="19"/>
              </w:rPr>
              <w:t>Complete the plan with the executive team before the fiscal year begins. Review it monthly and formally reforecast it each quarter.</w:t>
            </w:r>
          </w:p>
        </w:tc>
      </w:tr>
    </w:tbl>
    <w:p>
      <w:pPr>
        <w:spacing w:after="20"/>
      </w:pPr>
    </w:p>
    <w:p>
      <w:pPr>
        <w:pStyle w:val="ListParagraph"/>
        <w:spacing w:after="40"/>
        <w:ind w:left="288" w:hanging="173"/>
      </w:pPr>
      <w:r>
        <w:rPr>
          <w:b/>
        </w:rPr>
        <w:t xml:space="preserve">• </w:t>
      </w:r>
      <w:r>
        <w:t>Confirm the annual revenue and gross-margin goals with executive leadership and Finance.</w:t>
      </w:r>
    </w:p>
    <w:p>
      <w:pPr>
        <w:pStyle w:val="ListParagraph"/>
        <w:spacing w:after="40"/>
        <w:ind w:left="288" w:hanging="173"/>
      </w:pPr>
      <w:r>
        <w:rPr>
          <w:b/>
        </w:rPr>
        <w:t xml:space="preserve">• </w:t>
      </w:r>
      <w:r>
        <w:t>Build the revenue target waterfall so the source of every major growth dollar is visible.</w:t>
      </w:r>
    </w:p>
    <w:p>
      <w:pPr>
        <w:pStyle w:val="ListParagraph"/>
        <w:spacing w:after="40"/>
        <w:ind w:left="288" w:hanging="173"/>
      </w:pPr>
      <w:r>
        <w:rPr>
          <w:b/>
        </w:rPr>
        <w:t xml:space="preserve">• </w:t>
      </w:r>
      <w:r>
        <w:t>Translate the annual target into quarterly, pipeline, channel, retention, expansion, and capacity requirements.</w:t>
      </w:r>
    </w:p>
    <w:p>
      <w:pPr>
        <w:pStyle w:val="ListParagraph"/>
        <w:spacing w:after="40"/>
        <w:ind w:left="288" w:hanging="173"/>
      </w:pPr>
      <w:r>
        <w:rPr>
          <w:b/>
        </w:rPr>
        <w:t xml:space="preserve">• </w:t>
      </w:r>
      <w:r>
        <w:t>Assign one accountable owner to every major target, initiative, risk, and corrective action.</w:t>
      </w:r>
    </w:p>
    <w:p>
      <w:pPr>
        <w:pStyle w:val="ListParagraph"/>
        <w:spacing w:after="40"/>
        <w:ind w:left="288" w:hanging="173"/>
      </w:pPr>
      <w:r>
        <w:rPr>
          <w:b/>
        </w:rPr>
        <w:t xml:space="preserve">• </w:t>
      </w:r>
      <w:r>
        <w:t>Document the assumptions behind the plan and establish thresholds that trigger management action.</w:t>
      </w:r>
    </w:p>
    <w:p>
      <w:pPr>
        <w:pStyle w:val="ListParagraph"/>
        <w:spacing w:after="40"/>
        <w:ind w:left="288" w:hanging="173"/>
      </w:pPr>
      <w:r>
        <w:rPr>
          <w:b/>
        </w:rPr>
        <w:t xml:space="preserve">• </w:t>
      </w:r>
      <w:r>
        <w:t>Use quarterly reviews to reforecast, reprioritize resources, and document executive decisions.</w:t>
      </w: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Organization &amp; Planning Profile</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520"/>
        <w:gridCol w:w="2520"/>
        <w:gridCol w:w="2520"/>
        <w:gridCol w:w="2520"/>
      </w:tblGrid>
      <w:tr>
        <w:tc>
          <w:tcPr>
            <w:tcW w:type="dxa" w:w="2232"/>
            <w:vAlign w:val="center"/>
            <w:tcMar>
              <w:top w:w="70" w:type="dxa"/>
              <w:start w:w="80" w:type="dxa"/>
              <w:bottom w:w="70" w:type="dxa"/>
              <w:end w:w="80" w:type="dxa"/>
            </w:tcMar>
            <w:shd w:fill="1F2F4F"/>
          </w:tcPr>
          <w:p>
            <w:pPr>
              <w:spacing w:after="0"/>
            </w:pPr>
            <w:r/>
            <w:r>
              <w:rPr>
                <w:rFonts w:ascii="Calibri" w:hAnsi="Calibri"/>
                <w:b/>
                <w:color w:val="FFFFFF"/>
                <w:sz w:val="17"/>
              </w:rPr>
              <w:t>Planning Field</w:t>
            </w:r>
          </w:p>
        </w:tc>
        <w:tc>
          <w:tcPr>
            <w:tcW w:type="dxa" w:w="3168"/>
            <w:vAlign w:val="center"/>
            <w:tcMar>
              <w:top w:w="70" w:type="dxa"/>
              <w:start w:w="80" w:type="dxa"/>
              <w:bottom w:w="70" w:type="dxa"/>
              <w:end w:w="80" w:type="dxa"/>
            </w:tcMar>
            <w:shd w:fill="1F2F4F"/>
          </w:tcPr>
          <w:p>
            <w:pPr>
              <w:spacing w:after="0"/>
            </w:pPr>
            <w:r/>
            <w:r>
              <w:rPr>
                <w:rFonts w:ascii="Calibri" w:hAnsi="Calibri"/>
                <w:b/>
                <w:color w:val="FFFFFF"/>
                <w:sz w:val="17"/>
              </w:rPr>
              <w:t>Company Entry</w:t>
            </w:r>
          </w:p>
        </w:tc>
        <w:tc>
          <w:tcPr>
            <w:tcW w:type="dxa" w:w="2232"/>
            <w:vAlign w:val="center"/>
            <w:tcMar>
              <w:top w:w="70" w:type="dxa"/>
              <w:start w:w="80" w:type="dxa"/>
              <w:bottom w:w="70" w:type="dxa"/>
              <w:end w:w="80" w:type="dxa"/>
            </w:tcMar>
            <w:shd w:fill="1F2F4F"/>
          </w:tcPr>
          <w:p>
            <w:pPr>
              <w:spacing w:after="0"/>
            </w:pPr>
            <w:r/>
            <w:r>
              <w:rPr>
                <w:rFonts w:ascii="Calibri" w:hAnsi="Calibri"/>
                <w:b/>
                <w:color w:val="FFFFFF"/>
                <w:sz w:val="17"/>
              </w:rPr>
              <w:t>Planning Field</w:t>
            </w:r>
          </w:p>
        </w:tc>
        <w:tc>
          <w:tcPr>
            <w:tcW w:type="dxa" w:w="3168"/>
            <w:vAlign w:val="center"/>
            <w:tcMar>
              <w:top w:w="70" w:type="dxa"/>
              <w:start w:w="80" w:type="dxa"/>
              <w:bottom w:w="70" w:type="dxa"/>
              <w:end w:w="80" w:type="dxa"/>
            </w:tcMar>
            <w:shd w:fill="1F2F4F"/>
          </w:tcPr>
          <w:p>
            <w:pPr>
              <w:spacing w:after="0"/>
            </w:pPr>
            <w:r/>
            <w:r>
              <w:rPr>
                <w:rFonts w:ascii="Calibri" w:hAnsi="Calibri"/>
                <w:b/>
                <w:color w:val="FFFFFF"/>
                <w:sz w:val="17"/>
              </w:rPr>
              <w:t>Company Entry</w:t>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Organization</w:t>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c>
          <w:tcPr>
            <w:tcW w:type="dxa" w:w="2232"/>
            <w:vAlign w:val="center"/>
            <w:tcMar>
              <w:top w:w="70" w:type="dxa"/>
              <w:start w:w="80" w:type="dxa"/>
              <w:bottom w:w="70" w:type="dxa"/>
              <w:end w:w="80" w:type="dxa"/>
            </w:tcMar>
          </w:tcPr>
          <w:p>
            <w:pPr>
              <w:spacing w:after="0"/>
            </w:pPr>
            <w:r/>
            <w:r>
              <w:rPr>
                <w:rFonts w:ascii="Calibri" w:hAnsi="Calibri"/>
                <w:b w:val="0"/>
                <w:color w:val="222222"/>
                <w:sz w:val="17"/>
              </w:rPr>
              <w:t>Fiscal Year</w:t>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Plan Owner</w:t>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Executive Sponsor</w:t>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Plan Start Date</w:t>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c>
          <w:tcPr>
            <w:tcW w:type="dxa" w:w="2232"/>
            <w:vAlign w:val="center"/>
            <w:tcMar>
              <w:top w:w="70" w:type="dxa"/>
              <w:start w:w="80" w:type="dxa"/>
              <w:bottom w:w="70" w:type="dxa"/>
              <w:end w:w="80" w:type="dxa"/>
            </w:tcMar>
          </w:tcPr>
          <w:p>
            <w:pPr>
              <w:spacing w:after="0"/>
            </w:pPr>
            <w:r/>
            <w:r>
              <w:rPr>
                <w:rFonts w:ascii="Calibri" w:hAnsi="Calibri"/>
                <w:b w:val="0"/>
                <w:color w:val="222222"/>
                <w:sz w:val="17"/>
              </w:rPr>
              <w:t>Last Updated</w:t>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Current Annual Revenue</w:t>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Annual Revenue Target</w:t>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t>$</w:t>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Target Growth Rate</w:t>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tcPr>
          <w:p>
            <w:pPr>
              <w:spacing w:after="0"/>
            </w:pPr>
            <w:r/>
            <w:r>
              <w:rPr>
                <w:rFonts w:ascii="Calibri" w:hAnsi="Calibri"/>
                <w:b w:val="0"/>
                <w:color w:val="222222"/>
                <w:sz w:val="17"/>
              </w:rPr>
              <w:t>Gross Margin Target</w:t>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t>%</w:t>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Executive Revenue Direction</w:t>
            </w:r>
          </w:p>
          <w:p>
            <w:pPr>
              <w:spacing w:after="0"/>
            </w:pPr>
            <w:r>
              <w:rPr>
                <w:rFonts w:ascii="Calibri" w:hAnsi="Calibri"/>
                <w:i/>
                <w:color w:val="777777"/>
                <w:sz w:val="19"/>
              </w:rPr>
              <w:t>Define what leadership expects the revenue organization to accomplish and where it will focus.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5040"/>
        <w:gridCol w:w="5040"/>
      </w:tblGrid>
      <w:tr>
        <w:tc>
          <w:tcPr>
            <w:tcW w:type="dxa" w:w="4320"/>
            <w:vAlign w:val="center"/>
            <w:tcMar>
              <w:top w:w="70" w:type="dxa"/>
              <w:start w:w="80" w:type="dxa"/>
              <w:bottom w:w="70" w:type="dxa"/>
              <w:end w:w="80" w:type="dxa"/>
            </w:tcMar>
            <w:shd w:fill="1F2F4F"/>
          </w:tcPr>
          <w:p>
            <w:pPr>
              <w:spacing w:after="0"/>
            </w:pPr>
            <w:r/>
            <w:r>
              <w:rPr>
                <w:rFonts w:ascii="Calibri" w:hAnsi="Calibri"/>
                <w:b/>
                <w:color w:val="FFFFFF"/>
                <w:sz w:val="17"/>
              </w:rPr>
              <w:t>Executive Planning Question</w:t>
            </w:r>
          </w:p>
        </w:tc>
        <w:tc>
          <w:tcPr>
            <w:tcW w:type="dxa" w:w="6480"/>
            <w:vAlign w:val="center"/>
            <w:tcMar>
              <w:top w:w="70" w:type="dxa"/>
              <w:start w:w="80" w:type="dxa"/>
              <w:bottom w:w="70" w:type="dxa"/>
              <w:end w:w="80" w:type="dxa"/>
            </w:tcMar>
            <w:shd w:fill="1F2F4F"/>
          </w:tcPr>
          <w:p>
            <w:pPr>
              <w:spacing w:after="0"/>
            </w:pPr>
            <w:r/>
            <w:r>
              <w:rPr>
                <w:rFonts w:ascii="Calibri" w:hAnsi="Calibri"/>
                <w:b/>
                <w:color w:val="FFFFFF"/>
                <w:sz w:val="17"/>
              </w:rPr>
              <w:t>Decision / Management Direction</w:t>
            </w:r>
          </w:p>
        </w:tc>
      </w:tr>
      <w:tr>
        <w:tc>
          <w:tcPr>
            <w:tcW w:type="dxa" w:w="4320"/>
            <w:vAlign w:val="center"/>
            <w:tcMar>
              <w:top w:w="70" w:type="dxa"/>
              <w:start w:w="80" w:type="dxa"/>
              <w:bottom w:w="70" w:type="dxa"/>
              <w:end w:w="80" w:type="dxa"/>
            </w:tcMar>
          </w:tcPr>
          <w:p>
            <w:pPr>
              <w:spacing w:after="0"/>
            </w:pPr>
            <w:r/>
            <w:r>
              <w:rPr>
                <w:rFonts w:ascii="Calibri" w:hAnsi="Calibri"/>
                <w:b w:val="0"/>
                <w:color w:val="222222"/>
                <w:sz w:val="17"/>
              </w:rPr>
              <w:t>Primary revenue objective for the year</w:t>
            </w:r>
          </w:p>
        </w:tc>
        <w:tc>
          <w:tcPr>
            <w:tcW w:type="dxa" w:w="648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320"/>
            <w:vAlign w:val="center"/>
            <w:tcMar>
              <w:top w:w="70" w:type="dxa"/>
              <w:start w:w="80" w:type="dxa"/>
              <w:bottom w:w="70" w:type="dxa"/>
              <w:end w:w="80" w:type="dxa"/>
            </w:tcMar>
            <w:shd w:fill="F2F2F2"/>
          </w:tcPr>
          <w:p>
            <w:pPr>
              <w:spacing w:after="0"/>
            </w:pPr>
            <w:r/>
            <w:r>
              <w:rPr>
                <w:rFonts w:ascii="Calibri" w:hAnsi="Calibri"/>
                <w:b w:val="0"/>
                <w:color w:val="222222"/>
                <w:sz w:val="17"/>
              </w:rPr>
              <w:t>Three to five strategic growth priorities</w:t>
            </w:r>
          </w:p>
        </w:tc>
        <w:tc>
          <w:tcPr>
            <w:tcW w:type="dxa" w:w="648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4320"/>
            <w:vAlign w:val="center"/>
            <w:tcMar>
              <w:top w:w="70" w:type="dxa"/>
              <w:start w:w="80" w:type="dxa"/>
              <w:bottom w:w="70" w:type="dxa"/>
              <w:end w:w="80" w:type="dxa"/>
            </w:tcMar>
          </w:tcPr>
          <w:p>
            <w:pPr>
              <w:spacing w:after="0"/>
            </w:pPr>
            <w:r/>
            <w:r>
              <w:rPr>
                <w:rFonts w:ascii="Calibri" w:hAnsi="Calibri"/>
                <w:b w:val="0"/>
                <w:color w:val="222222"/>
                <w:sz w:val="17"/>
              </w:rPr>
              <w:t>Priority customer segments / markets</w:t>
            </w:r>
          </w:p>
        </w:tc>
        <w:tc>
          <w:tcPr>
            <w:tcW w:type="dxa" w:w="648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320"/>
            <w:vAlign w:val="center"/>
            <w:tcMar>
              <w:top w:w="70" w:type="dxa"/>
              <w:start w:w="80" w:type="dxa"/>
              <w:bottom w:w="70" w:type="dxa"/>
              <w:end w:w="80" w:type="dxa"/>
            </w:tcMar>
            <w:shd w:fill="F2F2F2"/>
          </w:tcPr>
          <w:p>
            <w:pPr>
              <w:spacing w:after="0"/>
            </w:pPr>
            <w:r/>
            <w:r>
              <w:rPr>
                <w:rFonts w:ascii="Calibri" w:hAnsi="Calibri"/>
                <w:b w:val="0"/>
                <w:color w:val="222222"/>
                <w:sz w:val="17"/>
              </w:rPr>
              <w:t>Priority products / services</w:t>
            </w:r>
          </w:p>
        </w:tc>
        <w:tc>
          <w:tcPr>
            <w:tcW w:type="dxa" w:w="648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4320"/>
            <w:vAlign w:val="center"/>
            <w:tcMar>
              <w:top w:w="70" w:type="dxa"/>
              <w:start w:w="80" w:type="dxa"/>
              <w:bottom w:w="70" w:type="dxa"/>
              <w:end w:w="80" w:type="dxa"/>
            </w:tcMar>
          </w:tcPr>
          <w:p>
            <w:pPr>
              <w:spacing w:after="0"/>
            </w:pPr>
            <w:r/>
            <w:r>
              <w:rPr>
                <w:rFonts w:ascii="Calibri" w:hAnsi="Calibri"/>
                <w:b w:val="0"/>
                <w:color w:val="222222"/>
                <w:sz w:val="17"/>
              </w:rPr>
              <w:t>Most important revenue risks</w:t>
            </w:r>
          </w:p>
        </w:tc>
        <w:tc>
          <w:tcPr>
            <w:tcW w:type="dxa" w:w="648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320"/>
            <w:vAlign w:val="center"/>
            <w:tcMar>
              <w:top w:w="70" w:type="dxa"/>
              <w:start w:w="80" w:type="dxa"/>
              <w:bottom w:w="70" w:type="dxa"/>
              <w:end w:w="80" w:type="dxa"/>
            </w:tcMar>
            <w:shd w:fill="F2F2F2"/>
          </w:tcPr>
          <w:p>
            <w:pPr>
              <w:spacing w:after="0"/>
            </w:pPr>
            <w:r/>
            <w:r>
              <w:rPr>
                <w:rFonts w:ascii="Calibri" w:hAnsi="Calibri"/>
                <w:b w:val="0"/>
                <w:color w:val="222222"/>
                <w:sz w:val="17"/>
              </w:rPr>
              <w:t>What the company will deliberately not pursue</w:t>
            </w:r>
          </w:p>
        </w:tc>
        <w:tc>
          <w:tcPr>
            <w:tcW w:type="dxa" w:w="648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4320"/>
            <w:vAlign w:val="center"/>
            <w:tcMar>
              <w:top w:w="70" w:type="dxa"/>
              <w:start w:w="80" w:type="dxa"/>
              <w:bottom w:w="70" w:type="dxa"/>
              <w:end w:w="80" w:type="dxa"/>
            </w:tcMar>
          </w:tcPr>
          <w:p>
            <w:pPr>
              <w:spacing w:after="0"/>
            </w:pPr>
            <w:r/>
            <w:r>
              <w:rPr>
                <w:rFonts w:ascii="Calibri" w:hAnsi="Calibri"/>
                <w:b w:val="0"/>
                <w:color w:val="222222"/>
                <w:sz w:val="17"/>
              </w:rPr>
              <w:t>What must be true for this plan to succeed</w:t>
            </w:r>
          </w:p>
        </w:tc>
        <w:tc>
          <w:tcPr>
            <w:tcW w:type="dxa" w:w="6480"/>
            <w:vAlign w:val="center"/>
            <w:tcMar>
              <w:top w:w="70" w:type="dxa"/>
              <w:start w:w="80" w:type="dxa"/>
              <w:bottom w:w="70" w:type="dxa"/>
              <w:end w:w="80" w:type="dxa"/>
            </w:tcMar>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Annual Revenue Target Waterfall</w:t>
            </w:r>
          </w:p>
          <w:p>
            <w:pPr>
              <w:spacing w:after="0"/>
            </w:pPr>
            <w:r>
              <w:rPr>
                <w:rFonts w:ascii="Calibri" w:hAnsi="Calibri"/>
                <w:i/>
                <w:color w:val="777777"/>
                <w:sz w:val="19"/>
              </w:rPr>
              <w:t>Show exactly where the annual revenue target is expected to come from.</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2592"/>
            <w:vAlign w:val="center"/>
            <w:tcMar>
              <w:top w:w="70" w:type="dxa"/>
              <w:start w:w="80" w:type="dxa"/>
              <w:bottom w:w="70" w:type="dxa"/>
              <w:end w:w="80" w:type="dxa"/>
            </w:tcMar>
            <w:shd w:fill="1F2F4F"/>
          </w:tcPr>
          <w:p>
            <w:pPr>
              <w:spacing w:after="0"/>
            </w:pPr>
            <w:r/>
            <w:r>
              <w:rPr>
                <w:rFonts w:ascii="Calibri" w:hAnsi="Calibri"/>
                <w:b/>
                <w:color w:val="FFFFFF"/>
                <w:sz w:val="17"/>
              </w:rPr>
              <w:t>Revenue Source</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Prior Year</w:t>
            </w:r>
          </w:p>
        </w:tc>
        <w:tc>
          <w:tcPr>
            <w:tcW w:type="dxa" w:w="1728"/>
            <w:vAlign w:val="center"/>
            <w:tcMar>
              <w:top w:w="70" w:type="dxa"/>
              <w:start w:w="80" w:type="dxa"/>
              <w:bottom w:w="70" w:type="dxa"/>
              <w:end w:w="80" w:type="dxa"/>
            </w:tcMar>
            <w:shd w:fill="1F2F4F"/>
          </w:tcPr>
          <w:p>
            <w:pPr>
              <w:spacing w:after="0"/>
            </w:pPr>
            <w:r/>
            <w:r>
              <w:rPr>
                <w:rFonts w:ascii="Calibri" w:hAnsi="Calibri"/>
                <w:b/>
                <w:color w:val="FFFFFF"/>
                <w:sz w:val="17"/>
              </w:rPr>
              <w:t>Current Target</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Growth $</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Growth %</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Existing / recurring revenue</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t>Renewals / retained revenue</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Expansion / upsell / cross-sell</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t>New customer revenue</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New products / services</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t>Channel / partner revenue</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Other revenue</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t>TOTAL</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72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Quarterly Revenue Targets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3168"/>
            <w:vAlign w:val="center"/>
            <w:tcMar>
              <w:top w:w="70" w:type="dxa"/>
              <w:start w:w="80" w:type="dxa"/>
              <w:bottom w:w="70" w:type="dxa"/>
              <w:end w:w="80" w:type="dxa"/>
            </w:tcMar>
            <w:shd w:fill="1F2F4F"/>
          </w:tcPr>
          <w:p>
            <w:pPr>
              <w:spacing w:after="0"/>
            </w:pPr>
            <w:r/>
            <w:r>
              <w:rPr>
                <w:rFonts w:ascii="Calibri" w:hAnsi="Calibri"/>
                <w:b/>
                <w:color w:val="FFFFFF"/>
                <w:sz w:val="17"/>
              </w:rPr>
              <w:t>Metric</w:t>
            </w:r>
          </w:p>
        </w:tc>
        <w:tc>
          <w:tcPr>
            <w:tcW w:type="dxa" w:w="1512"/>
            <w:vAlign w:val="center"/>
            <w:tcMar>
              <w:top w:w="70" w:type="dxa"/>
              <w:start w:w="80" w:type="dxa"/>
              <w:bottom w:w="70" w:type="dxa"/>
              <w:end w:w="80" w:type="dxa"/>
            </w:tcMar>
            <w:shd w:fill="1F2F4F"/>
          </w:tcPr>
          <w:p>
            <w:pPr>
              <w:spacing w:after="0"/>
            </w:pPr>
            <w:r/>
            <w:r>
              <w:rPr>
                <w:rFonts w:ascii="Calibri" w:hAnsi="Calibri"/>
                <w:b/>
                <w:color w:val="FFFFFF"/>
                <w:sz w:val="17"/>
              </w:rPr>
              <w:t>Q1</w:t>
            </w:r>
          </w:p>
        </w:tc>
        <w:tc>
          <w:tcPr>
            <w:tcW w:type="dxa" w:w="1512"/>
            <w:vAlign w:val="center"/>
            <w:tcMar>
              <w:top w:w="70" w:type="dxa"/>
              <w:start w:w="80" w:type="dxa"/>
              <w:bottom w:w="70" w:type="dxa"/>
              <w:end w:w="80" w:type="dxa"/>
            </w:tcMar>
            <w:shd w:fill="1F2F4F"/>
          </w:tcPr>
          <w:p>
            <w:pPr>
              <w:spacing w:after="0"/>
            </w:pPr>
            <w:r/>
            <w:r>
              <w:rPr>
                <w:rFonts w:ascii="Calibri" w:hAnsi="Calibri"/>
                <w:b/>
                <w:color w:val="FFFFFF"/>
                <w:sz w:val="17"/>
              </w:rPr>
              <w:t>Q2</w:t>
            </w:r>
          </w:p>
        </w:tc>
        <w:tc>
          <w:tcPr>
            <w:tcW w:type="dxa" w:w="1512"/>
            <w:vAlign w:val="center"/>
            <w:tcMar>
              <w:top w:w="70" w:type="dxa"/>
              <w:start w:w="80" w:type="dxa"/>
              <w:bottom w:w="70" w:type="dxa"/>
              <w:end w:w="80" w:type="dxa"/>
            </w:tcMar>
            <w:shd w:fill="1F2F4F"/>
          </w:tcPr>
          <w:p>
            <w:pPr>
              <w:spacing w:after="0"/>
            </w:pPr>
            <w:r/>
            <w:r>
              <w:rPr>
                <w:rFonts w:ascii="Calibri" w:hAnsi="Calibri"/>
                <w:b/>
                <w:color w:val="FFFFFF"/>
                <w:sz w:val="17"/>
              </w:rPr>
              <w:t>Q3</w:t>
            </w:r>
          </w:p>
        </w:tc>
        <w:tc>
          <w:tcPr>
            <w:tcW w:type="dxa" w:w="1512"/>
            <w:vAlign w:val="center"/>
            <w:tcMar>
              <w:top w:w="70" w:type="dxa"/>
              <w:start w:w="80" w:type="dxa"/>
              <w:bottom w:w="70" w:type="dxa"/>
              <w:end w:w="80" w:type="dxa"/>
            </w:tcMar>
            <w:shd w:fill="1F2F4F"/>
          </w:tcPr>
          <w:p>
            <w:pPr>
              <w:spacing w:after="0"/>
            </w:pPr>
            <w:r/>
            <w:r>
              <w:rPr>
                <w:rFonts w:ascii="Calibri" w:hAnsi="Calibri"/>
                <w:b/>
                <w:color w:val="FFFFFF"/>
                <w:sz w:val="17"/>
              </w:rPr>
              <w:t>Q4</w:t>
            </w:r>
          </w:p>
        </w:tc>
        <w:tc>
          <w:tcPr>
            <w:tcW w:type="dxa" w:w="1512"/>
            <w:vAlign w:val="center"/>
            <w:tcMar>
              <w:top w:w="70" w:type="dxa"/>
              <w:start w:w="80" w:type="dxa"/>
              <w:bottom w:w="70" w:type="dxa"/>
              <w:end w:w="80" w:type="dxa"/>
            </w:tcMar>
            <w:shd w:fill="1F2F4F"/>
          </w:tcPr>
          <w:p>
            <w:pPr>
              <w:spacing w:after="0"/>
            </w:pPr>
            <w:r/>
            <w:r>
              <w:rPr>
                <w:rFonts w:ascii="Calibri" w:hAnsi="Calibri"/>
                <w:b/>
                <w:color w:val="FFFFFF"/>
                <w:sz w:val="17"/>
              </w:rPr>
              <w:t>Annual</w:t>
            </w:r>
          </w:p>
        </w:tc>
      </w:tr>
      <w:tr>
        <w:tc>
          <w:tcPr>
            <w:tcW w:type="dxa" w:w="3168"/>
            <w:vAlign w:val="center"/>
            <w:tcMar>
              <w:top w:w="70" w:type="dxa"/>
              <w:start w:w="80" w:type="dxa"/>
              <w:bottom w:w="70" w:type="dxa"/>
              <w:end w:w="80" w:type="dxa"/>
            </w:tcMar>
          </w:tcPr>
          <w:p>
            <w:pPr>
              <w:spacing w:after="0"/>
            </w:pPr>
            <w:r/>
            <w:r>
              <w:rPr>
                <w:rFonts w:ascii="Calibri" w:hAnsi="Calibri"/>
                <w:b w:val="0"/>
                <w:color w:val="222222"/>
                <w:sz w:val="17"/>
              </w:rPr>
              <w:t>Revenue</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r>
      <w:tr>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t>Gross profit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r>
      <w:tr>
        <w:tc>
          <w:tcPr>
            <w:tcW w:type="dxa" w:w="3168"/>
            <w:vAlign w:val="center"/>
            <w:tcMar>
              <w:top w:w="70" w:type="dxa"/>
              <w:start w:w="80" w:type="dxa"/>
              <w:bottom w:w="70" w:type="dxa"/>
              <w:end w:w="80" w:type="dxa"/>
            </w:tcMar>
          </w:tcPr>
          <w:p>
            <w:pPr>
              <w:spacing w:after="0"/>
            </w:pPr>
            <w:r/>
            <w:r>
              <w:rPr>
                <w:rFonts w:ascii="Calibri" w:hAnsi="Calibri"/>
                <w:b w:val="0"/>
                <w:color w:val="222222"/>
                <w:sz w:val="17"/>
              </w:rPr>
              <w:t>New customer revenue</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r>
      <w:tr>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t>Expansion revenue</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r>
      <w:tr>
        <w:tc>
          <w:tcPr>
            <w:tcW w:type="dxa" w:w="3168"/>
            <w:vAlign w:val="center"/>
            <w:tcMar>
              <w:top w:w="70" w:type="dxa"/>
              <w:start w:w="80" w:type="dxa"/>
              <w:bottom w:w="70" w:type="dxa"/>
              <w:end w:w="80" w:type="dxa"/>
            </w:tcMar>
          </w:tcPr>
          <w:p>
            <w:pPr>
              <w:spacing w:after="0"/>
            </w:pPr>
            <w:r/>
            <w:r>
              <w:rPr>
                <w:rFonts w:ascii="Calibri" w:hAnsi="Calibri"/>
                <w:b w:val="0"/>
                <w:color w:val="222222"/>
                <w:sz w:val="17"/>
              </w:rPr>
              <w:t>Renewal / retained revenue</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tcPr>
          <w:p>
            <w:pPr>
              <w:spacing w:after="0"/>
            </w:pPr>
            <w:r/>
            <w:r>
              <w:rPr>
                <w:rFonts w:ascii="Calibri" w:hAnsi="Calibri"/>
                <w:b w:val="0"/>
                <w:color w:val="222222"/>
                <w:sz w:val="17"/>
              </w:rPr>
              <w:t>$</w:t>
            </w:r>
          </w:p>
        </w:tc>
      </w:tr>
      <w:tr>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t>Qualified pipeline required</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12"/>
            <w:vAlign w:val="center"/>
            <w:tcMar>
              <w:top w:w="70" w:type="dxa"/>
              <w:start w:w="80" w:type="dxa"/>
              <w:bottom w:w="70" w:type="dxa"/>
              <w:end w:w="80" w:type="dxa"/>
            </w:tcMar>
            <w:shd w:fill="F2F2F2"/>
          </w:tcPr>
          <w:p>
            <w:pPr>
              <w:spacing w:after="0"/>
            </w:pPr>
            <w:r/>
            <w:r>
              <w:rPr>
                <w:rFonts w:ascii="Calibri" w:hAnsi="Calibri"/>
                <w:b w:val="0"/>
                <w:color w:val="222222"/>
                <w:sz w:val="17"/>
              </w:rPr>
              <w:t>$</w:t>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Revenue Assumptions Register</w:t>
            </w:r>
          </w:p>
          <w:p>
            <w:pPr>
              <w:spacing w:after="0"/>
            </w:pPr>
            <w:r>
              <w:rPr>
                <w:rFonts w:ascii="Calibri" w:hAnsi="Calibri"/>
                <w:i/>
                <w:color w:val="777777"/>
                <w:sz w:val="19"/>
              </w:rPr>
              <w:t>Record the assumptions that make the revenue plan mathematically and operationally possible.</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2448"/>
            <w:vAlign w:val="center"/>
            <w:tcMar>
              <w:top w:w="70" w:type="dxa"/>
              <w:start w:w="80" w:type="dxa"/>
              <w:bottom w:w="70" w:type="dxa"/>
              <w:end w:w="80" w:type="dxa"/>
            </w:tcMar>
            <w:shd w:fill="1F2F4F"/>
          </w:tcPr>
          <w:p>
            <w:pPr>
              <w:spacing w:after="0"/>
            </w:pPr>
            <w:r/>
            <w:r>
              <w:rPr>
                <w:rFonts w:ascii="Calibri" w:hAnsi="Calibri"/>
                <w:b/>
                <w:color w:val="FFFFFF"/>
                <w:sz w:val="17"/>
              </w:rPr>
              <w:t>Assumption</w:t>
            </w:r>
          </w:p>
        </w:tc>
        <w:tc>
          <w:tcPr>
            <w:tcW w:type="dxa" w:w="1296"/>
            <w:vAlign w:val="center"/>
            <w:tcMar>
              <w:top w:w="70" w:type="dxa"/>
              <w:start w:w="80" w:type="dxa"/>
              <w:bottom w:w="70" w:type="dxa"/>
              <w:end w:w="80" w:type="dxa"/>
            </w:tcMar>
            <w:shd w:fill="1F2F4F"/>
          </w:tcPr>
          <w:p>
            <w:pPr>
              <w:spacing w:after="0"/>
            </w:pPr>
            <w:r/>
            <w:r>
              <w:rPr>
                <w:rFonts w:ascii="Calibri" w:hAnsi="Calibri"/>
                <w:b/>
                <w:color w:val="FFFFFF"/>
                <w:sz w:val="17"/>
              </w:rPr>
              <w:t>Plan Value</w:t>
            </w:r>
          </w:p>
        </w:tc>
        <w:tc>
          <w:tcPr>
            <w:tcW w:type="dxa" w:w="2880"/>
            <w:vAlign w:val="center"/>
            <w:tcMar>
              <w:top w:w="70" w:type="dxa"/>
              <w:start w:w="80" w:type="dxa"/>
              <w:bottom w:w="70" w:type="dxa"/>
              <w:end w:w="80" w:type="dxa"/>
            </w:tcMar>
            <w:shd w:fill="1F2F4F"/>
          </w:tcPr>
          <w:p>
            <w:pPr>
              <w:spacing w:after="0"/>
            </w:pPr>
            <w:r/>
            <w:r>
              <w:rPr>
                <w:rFonts w:ascii="Calibri" w:hAnsi="Calibri"/>
                <w:b/>
                <w:color w:val="FFFFFF"/>
                <w:sz w:val="17"/>
              </w:rPr>
              <w:t>Evidence / Basis</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c>
          <w:tcPr>
            <w:tcW w:type="dxa" w:w="1296"/>
            <w:vAlign w:val="center"/>
            <w:tcMar>
              <w:top w:w="70" w:type="dxa"/>
              <w:start w:w="80" w:type="dxa"/>
              <w:bottom w:w="70" w:type="dxa"/>
              <w:end w:w="80" w:type="dxa"/>
            </w:tcMar>
            <w:shd w:fill="1F2F4F"/>
          </w:tcPr>
          <w:p>
            <w:pPr>
              <w:spacing w:after="0"/>
            </w:pPr>
            <w:r/>
            <w:r>
              <w:rPr>
                <w:rFonts w:ascii="Calibri" w:hAnsi="Calibri"/>
                <w:b/>
                <w:color w:val="FFFFFF"/>
                <w:sz w:val="17"/>
              </w:rPr>
              <w:t>Review</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Status</w:t>
            </w:r>
          </w:p>
        </w:tc>
      </w:tr>
      <w:tr>
        <w:tc>
          <w:tcPr>
            <w:tcW w:type="dxa" w:w="2448"/>
            <w:vAlign w:val="center"/>
            <w:tcMar>
              <w:top w:w="70" w:type="dxa"/>
              <w:start w:w="80" w:type="dxa"/>
              <w:bottom w:w="70" w:type="dxa"/>
              <w:end w:w="80" w:type="dxa"/>
            </w:tcMar>
          </w:tcPr>
          <w:p>
            <w:pPr>
              <w:spacing w:after="0"/>
            </w:pPr>
            <w:r/>
            <w:r>
              <w:rPr>
                <w:rFonts w:ascii="Calibri" w:hAnsi="Calibri"/>
                <w:b w:val="0"/>
                <w:color w:val="222222"/>
                <w:sz w:val="17"/>
              </w:rPr>
              <w:t>Average deal / order value</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t>Win / close rate</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tcPr>
          <w:p>
            <w:pPr>
              <w:spacing w:after="0"/>
            </w:pPr>
            <w:r/>
            <w:r>
              <w:rPr>
                <w:rFonts w:ascii="Calibri" w:hAnsi="Calibri"/>
                <w:b w:val="0"/>
                <w:color w:val="222222"/>
                <w:sz w:val="17"/>
              </w:rPr>
              <w:t>Average sales cycle</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t>days</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t>Lead-to-opportunity conversion</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tcPr>
          <w:p>
            <w:pPr>
              <w:spacing w:after="0"/>
            </w:pPr>
            <w:r/>
            <w:r>
              <w:rPr>
                <w:rFonts w:ascii="Calibri" w:hAnsi="Calibri"/>
                <w:b w:val="0"/>
                <w:color w:val="222222"/>
                <w:sz w:val="17"/>
              </w:rPr>
              <w:t>Customer retention rate</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t>Expansion rate</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tcPr>
          <w:p>
            <w:pPr>
              <w:spacing w:after="0"/>
            </w:pPr>
            <w:r/>
            <w:r>
              <w:rPr>
                <w:rFonts w:ascii="Calibri" w:hAnsi="Calibri"/>
                <w:b w:val="0"/>
                <w:color w:val="222222"/>
                <w:sz w:val="17"/>
              </w:rPr>
              <w:t>Price realization / increase</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t>Sales capacity / productivity</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tcPr>
          <w:p>
            <w:pPr>
              <w:spacing w:after="0"/>
            </w:pPr>
            <w:r/>
            <w:r>
              <w:rPr>
                <w:rFonts w:ascii="Calibri" w:hAnsi="Calibri"/>
                <w:b w:val="0"/>
                <w:color w:val="222222"/>
                <w:sz w:val="17"/>
              </w:rPr>
              <w:t>Marketing contribution to pipeline</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t>Gross margin</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Market, Customer &amp; Offer Priorities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016"/>
        <w:gridCol w:w="2016"/>
        <w:gridCol w:w="2016"/>
        <w:gridCol w:w="2016"/>
        <w:gridCol w:w="2016"/>
      </w:tblGrid>
      <w:tr>
        <w:tc>
          <w:tcPr>
            <w:tcW w:type="dxa" w:w="2232"/>
            <w:vAlign w:val="center"/>
            <w:tcMar>
              <w:top w:w="70" w:type="dxa"/>
              <w:start w:w="80" w:type="dxa"/>
              <w:bottom w:w="70" w:type="dxa"/>
              <w:end w:w="80" w:type="dxa"/>
            </w:tcMar>
            <w:shd w:fill="1F2F4F"/>
          </w:tcPr>
          <w:p>
            <w:pPr>
              <w:spacing w:after="0"/>
            </w:pPr>
            <w:r/>
            <w:r>
              <w:rPr>
                <w:rFonts w:ascii="Calibri" w:hAnsi="Calibri"/>
                <w:b/>
                <w:color w:val="FFFFFF"/>
                <w:sz w:val="17"/>
              </w:rPr>
              <w:t>Priority Area</w:t>
            </w:r>
          </w:p>
        </w:tc>
        <w:tc>
          <w:tcPr>
            <w:tcW w:type="dxa" w:w="2592"/>
            <w:vAlign w:val="center"/>
            <w:tcMar>
              <w:top w:w="70" w:type="dxa"/>
              <w:start w:w="80" w:type="dxa"/>
              <w:bottom w:w="70" w:type="dxa"/>
              <w:end w:w="80" w:type="dxa"/>
            </w:tcMar>
            <w:shd w:fill="1F2F4F"/>
          </w:tcPr>
          <w:p>
            <w:pPr>
              <w:spacing w:after="0"/>
            </w:pPr>
            <w:r/>
            <w:r>
              <w:rPr>
                <w:rFonts w:ascii="Calibri" w:hAnsi="Calibri"/>
                <w:b/>
                <w:color w:val="FFFFFF"/>
                <w:sz w:val="17"/>
              </w:rPr>
              <w:t>Target / Decision</w:t>
            </w:r>
          </w:p>
        </w:tc>
        <w:tc>
          <w:tcPr>
            <w:tcW w:type="dxa" w:w="1872"/>
            <w:vAlign w:val="center"/>
            <w:tcMar>
              <w:top w:w="70" w:type="dxa"/>
              <w:start w:w="80" w:type="dxa"/>
              <w:bottom w:w="70" w:type="dxa"/>
              <w:end w:w="80" w:type="dxa"/>
            </w:tcMar>
            <w:shd w:fill="1F2F4F"/>
          </w:tcPr>
          <w:p>
            <w:pPr>
              <w:spacing w:after="0"/>
            </w:pPr>
            <w:r/>
            <w:r>
              <w:rPr>
                <w:rFonts w:ascii="Calibri" w:hAnsi="Calibri"/>
                <w:b/>
                <w:color w:val="FFFFFF"/>
                <w:sz w:val="17"/>
              </w:rPr>
              <w:t>Revenue Opportunity</w:t>
            </w:r>
          </w:p>
        </w:tc>
        <w:tc>
          <w:tcPr>
            <w:tcW w:type="dxa" w:w="2880"/>
            <w:vAlign w:val="center"/>
            <w:tcMar>
              <w:top w:w="70" w:type="dxa"/>
              <w:start w:w="80" w:type="dxa"/>
              <w:bottom w:w="70" w:type="dxa"/>
              <w:end w:w="80" w:type="dxa"/>
            </w:tcMar>
            <w:shd w:fill="1F2F4F"/>
          </w:tcPr>
          <w:p>
            <w:pPr>
              <w:spacing w:after="0"/>
            </w:pPr>
            <w:r/>
            <w:r>
              <w:rPr>
                <w:rFonts w:ascii="Calibri" w:hAnsi="Calibri"/>
                <w:b/>
                <w:color w:val="FFFFFF"/>
                <w:sz w:val="17"/>
              </w:rPr>
              <w:t>Investment / Action</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Ideal customer profile</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Primary customer segment</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Secondary customer segment</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Geographic market</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Core product / service</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Growth product / service</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Strategic accounts</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Pricing &amp; Margin Guardrails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520"/>
        <w:gridCol w:w="2520"/>
        <w:gridCol w:w="2520"/>
        <w:gridCol w:w="2520"/>
      </w:tblGrid>
      <w:tr>
        <w:tc>
          <w:tcPr>
            <w:tcW w:type="dxa" w:w="3456"/>
            <w:vAlign w:val="center"/>
            <w:tcMar>
              <w:top w:w="70" w:type="dxa"/>
              <w:start w:w="80" w:type="dxa"/>
              <w:bottom w:w="70" w:type="dxa"/>
              <w:end w:w="80" w:type="dxa"/>
            </w:tcMar>
            <w:shd w:fill="1F2F4F"/>
          </w:tcPr>
          <w:p>
            <w:pPr>
              <w:spacing w:after="0"/>
            </w:pPr>
            <w:r/>
            <w:r>
              <w:rPr>
                <w:rFonts w:ascii="Calibri" w:hAnsi="Calibri"/>
                <w:b/>
                <w:color w:val="FFFFFF"/>
                <w:sz w:val="17"/>
              </w:rPr>
              <w:t>Commercial Guardrail</w:t>
            </w:r>
          </w:p>
        </w:tc>
        <w:tc>
          <w:tcPr>
            <w:tcW w:type="dxa" w:w="2160"/>
            <w:vAlign w:val="center"/>
            <w:tcMar>
              <w:top w:w="70" w:type="dxa"/>
              <w:start w:w="80" w:type="dxa"/>
              <w:bottom w:w="70" w:type="dxa"/>
              <w:end w:w="80" w:type="dxa"/>
            </w:tcMar>
            <w:shd w:fill="1F2F4F"/>
          </w:tcPr>
          <w:p>
            <w:pPr>
              <w:spacing w:after="0"/>
            </w:pPr>
            <w:r/>
            <w:r>
              <w:rPr>
                <w:rFonts w:ascii="Calibri" w:hAnsi="Calibri"/>
                <w:b/>
                <w:color w:val="FFFFFF"/>
                <w:sz w:val="17"/>
              </w:rPr>
              <w:t>Target / Rule</w:t>
            </w:r>
          </w:p>
        </w:tc>
        <w:tc>
          <w:tcPr>
            <w:tcW w:type="dxa" w:w="2160"/>
            <w:vAlign w:val="center"/>
            <w:tcMar>
              <w:top w:w="70" w:type="dxa"/>
              <w:start w:w="80" w:type="dxa"/>
              <w:bottom w:w="70" w:type="dxa"/>
              <w:end w:w="80" w:type="dxa"/>
            </w:tcMar>
            <w:shd w:fill="1F2F4F"/>
          </w:tcPr>
          <w:p>
            <w:pPr>
              <w:spacing w:after="0"/>
            </w:pPr>
            <w:r/>
            <w:r>
              <w:rPr>
                <w:rFonts w:ascii="Calibri" w:hAnsi="Calibri"/>
                <w:b/>
                <w:color w:val="FFFFFF"/>
                <w:sz w:val="17"/>
              </w:rPr>
              <w:t>Approval Owner</w:t>
            </w:r>
          </w:p>
        </w:tc>
        <w:tc>
          <w:tcPr>
            <w:tcW w:type="dxa" w:w="3168"/>
            <w:vAlign w:val="center"/>
            <w:tcMar>
              <w:top w:w="70" w:type="dxa"/>
              <w:start w:w="80" w:type="dxa"/>
              <w:bottom w:w="70" w:type="dxa"/>
              <w:end w:w="80" w:type="dxa"/>
            </w:tcMar>
            <w:shd w:fill="1F2F4F"/>
          </w:tcPr>
          <w:p>
            <w:pPr>
              <w:spacing w:after="0"/>
            </w:pPr>
            <w:r/>
            <w:r>
              <w:rPr>
                <w:rFonts w:ascii="Calibri" w:hAnsi="Calibri"/>
                <w:b/>
                <w:color w:val="FFFFFF"/>
                <w:sz w:val="17"/>
              </w:rPr>
              <w:t>Exception Trigger</w:t>
            </w:r>
          </w:p>
        </w:tc>
      </w:tr>
      <w:tr>
        <w:tc>
          <w:tcPr>
            <w:tcW w:type="dxa" w:w="3456"/>
            <w:vAlign w:val="center"/>
            <w:tcMar>
              <w:top w:w="70" w:type="dxa"/>
              <w:start w:w="80" w:type="dxa"/>
              <w:bottom w:w="70" w:type="dxa"/>
              <w:end w:w="80" w:type="dxa"/>
            </w:tcMar>
          </w:tcPr>
          <w:p>
            <w:pPr>
              <w:spacing w:after="0"/>
            </w:pPr>
            <w:r/>
            <w:r>
              <w:rPr>
                <w:rFonts w:ascii="Calibri" w:hAnsi="Calibri"/>
                <w:b w:val="0"/>
                <w:color w:val="222222"/>
                <w:sz w:val="17"/>
              </w:rPr>
              <w:t>Standard gross margin</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3456"/>
            <w:vAlign w:val="center"/>
            <w:tcMar>
              <w:top w:w="70" w:type="dxa"/>
              <w:start w:w="80" w:type="dxa"/>
              <w:bottom w:w="70" w:type="dxa"/>
              <w:end w:w="80" w:type="dxa"/>
            </w:tcMar>
            <w:shd w:fill="F2F2F2"/>
          </w:tcPr>
          <w:p>
            <w:pPr>
              <w:spacing w:after="0"/>
            </w:pPr>
            <w:r/>
            <w:r>
              <w:rPr>
                <w:rFonts w:ascii="Calibri" w:hAnsi="Calibri"/>
                <w:b w:val="0"/>
                <w:color w:val="222222"/>
                <w:sz w:val="17"/>
              </w:rPr>
              <w:t>Minimum acceptable gross margin</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3456"/>
            <w:vAlign w:val="center"/>
            <w:tcMar>
              <w:top w:w="70" w:type="dxa"/>
              <w:start w:w="80" w:type="dxa"/>
              <w:bottom w:w="70" w:type="dxa"/>
              <w:end w:w="80" w:type="dxa"/>
            </w:tcMar>
          </w:tcPr>
          <w:p>
            <w:pPr>
              <w:spacing w:after="0"/>
            </w:pPr>
            <w:r/>
            <w:r>
              <w:rPr>
                <w:rFonts w:ascii="Calibri" w:hAnsi="Calibri"/>
                <w:b w:val="0"/>
                <w:color w:val="222222"/>
                <w:sz w:val="17"/>
              </w:rPr>
              <w:t>Standard discount limit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3456"/>
            <w:vAlign w:val="center"/>
            <w:tcMar>
              <w:top w:w="70" w:type="dxa"/>
              <w:start w:w="80" w:type="dxa"/>
              <w:bottom w:w="70" w:type="dxa"/>
              <w:end w:w="80" w:type="dxa"/>
            </w:tcMar>
            <w:shd w:fill="F2F2F2"/>
          </w:tcPr>
          <w:p>
            <w:pPr>
              <w:spacing w:after="0"/>
            </w:pPr>
            <w:r/>
            <w:r>
              <w:rPr>
                <w:rFonts w:ascii="Calibri" w:hAnsi="Calibri"/>
                <w:b w:val="0"/>
                <w:color w:val="222222"/>
                <w:sz w:val="17"/>
              </w:rPr>
              <w:t>Maximum discount without executive approval</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3456"/>
            <w:vAlign w:val="center"/>
            <w:tcMar>
              <w:top w:w="70" w:type="dxa"/>
              <w:start w:w="80" w:type="dxa"/>
              <w:bottom w:w="70" w:type="dxa"/>
              <w:end w:w="80" w:type="dxa"/>
            </w:tcMar>
          </w:tcPr>
          <w:p>
            <w:pPr>
              <w:spacing w:after="0"/>
            </w:pPr>
            <w:r/>
            <w:r>
              <w:rPr>
                <w:rFonts w:ascii="Calibri" w:hAnsi="Calibri"/>
                <w:b w:val="0"/>
                <w:color w:val="222222"/>
                <w:sz w:val="17"/>
              </w:rPr>
              <w:t>Standard payment terms</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3456"/>
            <w:vAlign w:val="center"/>
            <w:tcMar>
              <w:top w:w="70" w:type="dxa"/>
              <w:start w:w="80" w:type="dxa"/>
              <w:bottom w:w="70" w:type="dxa"/>
              <w:end w:w="80" w:type="dxa"/>
            </w:tcMar>
            <w:shd w:fill="F2F2F2"/>
          </w:tcPr>
          <w:p>
            <w:pPr>
              <w:spacing w:after="0"/>
            </w:pPr>
            <w:r/>
            <w:r>
              <w:rPr>
                <w:rFonts w:ascii="Calibri" w:hAnsi="Calibri"/>
                <w:b w:val="0"/>
                <w:color w:val="222222"/>
                <w:sz w:val="17"/>
              </w:rPr>
              <w:t>Price increase target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Demand Generation &amp; Channel Plan</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2304"/>
            <w:vAlign w:val="center"/>
            <w:tcMar>
              <w:top w:w="70" w:type="dxa"/>
              <w:start w:w="80" w:type="dxa"/>
              <w:bottom w:w="70" w:type="dxa"/>
              <w:end w:w="80" w:type="dxa"/>
            </w:tcMar>
            <w:shd w:fill="1F2F4F"/>
          </w:tcPr>
          <w:p>
            <w:pPr>
              <w:spacing w:after="0"/>
            </w:pPr>
            <w:r/>
            <w:r>
              <w:rPr>
                <w:rFonts w:ascii="Calibri" w:hAnsi="Calibri"/>
                <w:b/>
                <w:color w:val="FFFFFF"/>
                <w:sz w:val="17"/>
              </w:rPr>
              <w:t>Channel / Motion</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Revenue Target</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Pipeline Target</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Budget</w:t>
            </w:r>
          </w:p>
        </w:tc>
        <w:tc>
          <w:tcPr>
            <w:tcW w:type="dxa" w:w="2160"/>
            <w:vAlign w:val="center"/>
            <w:tcMar>
              <w:top w:w="70" w:type="dxa"/>
              <w:start w:w="80" w:type="dxa"/>
              <w:bottom w:w="70" w:type="dxa"/>
              <w:end w:w="80" w:type="dxa"/>
            </w:tcMar>
            <w:shd w:fill="1F2F4F"/>
          </w:tcPr>
          <w:p>
            <w:pPr>
              <w:spacing w:after="0"/>
            </w:pPr>
            <w:r/>
            <w:r>
              <w:rPr>
                <w:rFonts w:ascii="Calibri" w:hAnsi="Calibri"/>
                <w:b/>
                <w:color w:val="FFFFFF"/>
                <w:sz w:val="17"/>
              </w:rPr>
              <w:t>Primary KPI</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2304"/>
            <w:vAlign w:val="center"/>
            <w:tcMar>
              <w:top w:w="70" w:type="dxa"/>
              <w:start w:w="80" w:type="dxa"/>
              <w:bottom w:w="70" w:type="dxa"/>
              <w:end w:w="80" w:type="dxa"/>
            </w:tcMar>
          </w:tcPr>
          <w:p>
            <w:pPr>
              <w:spacing w:after="0"/>
            </w:pPr>
            <w:r/>
            <w:r>
              <w:rPr>
                <w:rFonts w:ascii="Calibri" w:hAnsi="Calibri"/>
                <w:b w:val="0"/>
                <w:color w:val="222222"/>
                <w:sz w:val="17"/>
              </w:rPr>
              <w:t>Inbound / content</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304"/>
            <w:vAlign w:val="center"/>
            <w:tcMar>
              <w:top w:w="70" w:type="dxa"/>
              <w:start w:w="80" w:type="dxa"/>
              <w:bottom w:w="70" w:type="dxa"/>
              <w:end w:w="80" w:type="dxa"/>
            </w:tcMar>
            <w:shd w:fill="F2F2F2"/>
          </w:tcPr>
          <w:p>
            <w:pPr>
              <w:spacing w:after="0"/>
            </w:pPr>
            <w:r/>
            <w:r>
              <w:rPr>
                <w:rFonts w:ascii="Calibri" w:hAnsi="Calibri"/>
                <w:b w:val="0"/>
                <w:color w:val="222222"/>
                <w:sz w:val="17"/>
              </w:rPr>
              <w:t>Outbound prospecting</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304"/>
            <w:vAlign w:val="center"/>
            <w:tcMar>
              <w:top w:w="70" w:type="dxa"/>
              <w:start w:w="80" w:type="dxa"/>
              <w:bottom w:w="70" w:type="dxa"/>
              <w:end w:w="80" w:type="dxa"/>
            </w:tcMar>
          </w:tcPr>
          <w:p>
            <w:pPr>
              <w:spacing w:after="0"/>
            </w:pPr>
            <w:r/>
            <w:r>
              <w:rPr>
                <w:rFonts w:ascii="Calibri" w:hAnsi="Calibri"/>
                <w:b w:val="0"/>
                <w:color w:val="222222"/>
                <w:sz w:val="17"/>
              </w:rPr>
              <w:t>Paid acquisition</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304"/>
            <w:vAlign w:val="center"/>
            <w:tcMar>
              <w:top w:w="70" w:type="dxa"/>
              <w:start w:w="80" w:type="dxa"/>
              <w:bottom w:w="70" w:type="dxa"/>
              <w:end w:w="80" w:type="dxa"/>
            </w:tcMar>
            <w:shd w:fill="F2F2F2"/>
          </w:tcPr>
          <w:p>
            <w:pPr>
              <w:spacing w:after="0"/>
            </w:pPr>
            <w:r/>
            <w:r>
              <w:rPr>
                <w:rFonts w:ascii="Calibri" w:hAnsi="Calibri"/>
                <w:b w:val="0"/>
                <w:color w:val="222222"/>
                <w:sz w:val="17"/>
              </w:rPr>
              <w:t>Referral</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304"/>
            <w:vAlign w:val="center"/>
            <w:tcMar>
              <w:top w:w="70" w:type="dxa"/>
              <w:start w:w="80" w:type="dxa"/>
              <w:bottom w:w="70" w:type="dxa"/>
              <w:end w:w="80" w:type="dxa"/>
            </w:tcMar>
          </w:tcPr>
          <w:p>
            <w:pPr>
              <w:spacing w:after="0"/>
            </w:pPr>
            <w:r/>
            <w:r>
              <w:rPr>
                <w:rFonts w:ascii="Calibri" w:hAnsi="Calibri"/>
                <w:b w:val="0"/>
                <w:color w:val="222222"/>
                <w:sz w:val="17"/>
              </w:rPr>
              <w:t>Partner / channel</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304"/>
            <w:vAlign w:val="center"/>
            <w:tcMar>
              <w:top w:w="70" w:type="dxa"/>
              <w:start w:w="80" w:type="dxa"/>
              <w:bottom w:w="70" w:type="dxa"/>
              <w:end w:w="80" w:type="dxa"/>
            </w:tcMar>
            <w:shd w:fill="F2F2F2"/>
          </w:tcPr>
          <w:p>
            <w:pPr>
              <w:spacing w:after="0"/>
            </w:pPr>
            <w:r/>
            <w:r>
              <w:rPr>
                <w:rFonts w:ascii="Calibri" w:hAnsi="Calibri"/>
                <w:b w:val="0"/>
                <w:color w:val="222222"/>
                <w:sz w:val="17"/>
              </w:rPr>
              <w:t>Events / associations</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304"/>
            <w:vAlign w:val="center"/>
            <w:tcMar>
              <w:top w:w="70" w:type="dxa"/>
              <w:start w:w="80" w:type="dxa"/>
              <w:bottom w:w="70" w:type="dxa"/>
              <w:end w:w="80" w:type="dxa"/>
            </w:tcMar>
          </w:tcPr>
          <w:p>
            <w:pPr>
              <w:spacing w:after="0"/>
            </w:pPr>
            <w:r/>
            <w:r>
              <w:rPr>
                <w:rFonts w:ascii="Calibri" w:hAnsi="Calibri"/>
                <w:b w:val="0"/>
                <w:color w:val="222222"/>
                <w:sz w:val="17"/>
              </w:rPr>
              <w:t>Existing customer expansion</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304"/>
            <w:vAlign w:val="center"/>
            <w:tcMar>
              <w:top w:w="70" w:type="dxa"/>
              <w:start w:w="80" w:type="dxa"/>
              <w:bottom w:w="70" w:type="dxa"/>
              <w:end w:w="80" w:type="dxa"/>
            </w:tcMar>
            <w:shd w:fill="F2F2F2"/>
          </w:tcPr>
          <w:p>
            <w:pPr>
              <w:spacing w:after="0"/>
            </w:pPr>
            <w:r/>
            <w:r>
              <w:rPr>
                <w:rFonts w:ascii="Calibri" w:hAnsi="Calibri"/>
                <w:b w:val="0"/>
                <w:color w:val="222222"/>
                <w:sz w:val="17"/>
              </w:rPr>
              <w:t>Other</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Pipeline Requirements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016"/>
        <w:gridCol w:w="2016"/>
        <w:gridCol w:w="2016"/>
        <w:gridCol w:w="2016"/>
        <w:gridCol w:w="2016"/>
      </w:tblGrid>
      <w:tr>
        <w:tc>
          <w:tcPr>
            <w:tcW w:type="dxa" w:w="3744"/>
            <w:vAlign w:val="center"/>
            <w:tcMar>
              <w:top w:w="70" w:type="dxa"/>
              <w:start w:w="80" w:type="dxa"/>
              <w:bottom w:w="70" w:type="dxa"/>
              <w:end w:w="80" w:type="dxa"/>
            </w:tcMar>
            <w:shd w:fill="1F2F4F"/>
          </w:tcPr>
          <w:p>
            <w:pPr>
              <w:spacing w:after="0"/>
            </w:pPr>
            <w:r/>
            <w:r>
              <w:rPr>
                <w:rFonts w:ascii="Calibri" w:hAnsi="Calibri"/>
                <w:b/>
                <w:color w:val="FFFFFF"/>
                <w:sz w:val="17"/>
              </w:rPr>
              <w:t>Pipeline Metric</w:t>
            </w:r>
          </w:p>
        </w:tc>
        <w:tc>
          <w:tcPr>
            <w:tcW w:type="dxa" w:w="1656"/>
            <w:vAlign w:val="center"/>
            <w:tcMar>
              <w:top w:w="70" w:type="dxa"/>
              <w:start w:w="80" w:type="dxa"/>
              <w:bottom w:w="70" w:type="dxa"/>
              <w:end w:w="80" w:type="dxa"/>
            </w:tcMar>
            <w:shd w:fill="1F2F4F"/>
          </w:tcPr>
          <w:p>
            <w:pPr>
              <w:spacing w:after="0"/>
            </w:pPr>
            <w:r/>
            <w:r>
              <w:rPr>
                <w:rFonts w:ascii="Calibri" w:hAnsi="Calibri"/>
                <w:b/>
                <w:color w:val="FFFFFF"/>
                <w:sz w:val="17"/>
              </w:rPr>
              <w:t>Target</w:t>
            </w:r>
          </w:p>
        </w:tc>
        <w:tc>
          <w:tcPr>
            <w:tcW w:type="dxa" w:w="1944"/>
            <w:vAlign w:val="center"/>
            <w:tcMar>
              <w:top w:w="70" w:type="dxa"/>
              <w:start w:w="80" w:type="dxa"/>
              <w:bottom w:w="70" w:type="dxa"/>
              <w:end w:w="80" w:type="dxa"/>
            </w:tcMar>
            <w:shd w:fill="1F2F4F"/>
          </w:tcPr>
          <w:p>
            <w:pPr>
              <w:spacing w:after="0"/>
            </w:pPr>
            <w:r/>
            <w:r>
              <w:rPr>
                <w:rFonts w:ascii="Calibri" w:hAnsi="Calibri"/>
                <w:b/>
                <w:color w:val="FFFFFF"/>
                <w:sz w:val="17"/>
              </w:rPr>
              <w:t>Current Baseline</w:t>
            </w:r>
          </w:p>
        </w:tc>
        <w:tc>
          <w:tcPr>
            <w:tcW w:type="dxa" w:w="1656"/>
            <w:vAlign w:val="center"/>
            <w:tcMar>
              <w:top w:w="70" w:type="dxa"/>
              <w:start w:w="80" w:type="dxa"/>
              <w:bottom w:w="70" w:type="dxa"/>
              <w:end w:w="80" w:type="dxa"/>
            </w:tcMar>
            <w:shd w:fill="1F2F4F"/>
          </w:tcPr>
          <w:p>
            <w:pPr>
              <w:spacing w:after="0"/>
            </w:pPr>
            <w:r/>
            <w:r>
              <w:rPr>
                <w:rFonts w:ascii="Calibri" w:hAnsi="Calibri"/>
                <w:b/>
                <w:color w:val="FFFFFF"/>
                <w:sz w:val="17"/>
              </w:rPr>
              <w:t>Gap</w:t>
            </w:r>
          </w:p>
        </w:tc>
        <w:tc>
          <w:tcPr>
            <w:tcW w:type="dxa" w:w="1656"/>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3744"/>
            <w:vAlign w:val="center"/>
            <w:tcMar>
              <w:top w:w="70" w:type="dxa"/>
              <w:start w:w="80" w:type="dxa"/>
              <w:bottom w:w="70" w:type="dxa"/>
              <w:end w:w="80" w:type="dxa"/>
            </w:tcMar>
          </w:tcPr>
          <w:p>
            <w:pPr>
              <w:spacing w:after="0"/>
            </w:pPr>
            <w:r/>
            <w:r>
              <w:rPr>
                <w:rFonts w:ascii="Calibri" w:hAnsi="Calibri"/>
                <w:b w:val="0"/>
                <w:color w:val="222222"/>
                <w:sz w:val="17"/>
              </w:rPr>
              <w:t>Annual qualified pipeline required</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94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3744"/>
            <w:vAlign w:val="center"/>
            <w:tcMar>
              <w:top w:w="70" w:type="dxa"/>
              <w:start w:w="80" w:type="dxa"/>
              <w:bottom w:w="70" w:type="dxa"/>
              <w:end w:w="80" w:type="dxa"/>
            </w:tcMar>
            <w:shd w:fill="F2F2F2"/>
          </w:tcPr>
          <w:p>
            <w:pPr>
              <w:spacing w:after="0"/>
            </w:pPr>
            <w:r/>
            <w:r>
              <w:rPr>
                <w:rFonts w:ascii="Calibri" w:hAnsi="Calibri"/>
                <w:b w:val="0"/>
                <w:color w:val="222222"/>
                <w:sz w:val="17"/>
              </w:rPr>
              <w:t>Pipeline coverage ratio</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944"/>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3744"/>
            <w:vAlign w:val="center"/>
            <w:tcMar>
              <w:top w:w="70" w:type="dxa"/>
              <w:start w:w="80" w:type="dxa"/>
              <w:bottom w:w="70" w:type="dxa"/>
              <w:end w:w="80" w:type="dxa"/>
            </w:tcMar>
          </w:tcPr>
          <w:p>
            <w:pPr>
              <w:spacing w:after="0"/>
            </w:pPr>
            <w:r/>
            <w:r>
              <w:rPr>
                <w:rFonts w:ascii="Calibri" w:hAnsi="Calibri"/>
                <w:b w:val="0"/>
                <w:color w:val="222222"/>
                <w:sz w:val="17"/>
              </w:rPr>
              <w:t>New qualified opportunities / month</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1944"/>
            <w:vAlign w:val="center"/>
            <w:tcMar>
              <w:top w:w="70" w:type="dxa"/>
              <w:start w:w="80" w:type="dxa"/>
              <w:bottom w:w="70" w:type="dxa"/>
              <w:end w:w="80" w:type="dxa"/>
            </w:tcMar>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3744"/>
            <w:vAlign w:val="center"/>
            <w:tcMar>
              <w:top w:w="70" w:type="dxa"/>
              <w:start w:w="80" w:type="dxa"/>
              <w:bottom w:w="70" w:type="dxa"/>
              <w:end w:w="80" w:type="dxa"/>
            </w:tcMar>
            <w:shd w:fill="F2F2F2"/>
          </w:tcPr>
          <w:p>
            <w:pPr>
              <w:spacing w:after="0"/>
            </w:pPr>
            <w:r/>
            <w:r>
              <w:rPr>
                <w:rFonts w:ascii="Calibri" w:hAnsi="Calibri"/>
                <w:b w:val="0"/>
                <w:color w:val="222222"/>
                <w:sz w:val="17"/>
              </w:rPr>
              <w:t>Average opportunity value</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94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3744"/>
            <w:vAlign w:val="center"/>
            <w:tcMar>
              <w:top w:w="70" w:type="dxa"/>
              <w:start w:w="80" w:type="dxa"/>
              <w:bottom w:w="70" w:type="dxa"/>
              <w:end w:w="80" w:type="dxa"/>
            </w:tcMar>
          </w:tcPr>
          <w:p>
            <w:pPr>
              <w:spacing w:after="0"/>
            </w:pPr>
            <w:r/>
            <w:r>
              <w:rPr>
                <w:rFonts w:ascii="Calibri" w:hAnsi="Calibri"/>
                <w:b w:val="0"/>
                <w:color w:val="222222"/>
                <w:sz w:val="17"/>
              </w:rPr>
              <w:t>Lead-to-opportunity conversion</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94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3744"/>
            <w:vAlign w:val="center"/>
            <w:tcMar>
              <w:top w:w="70" w:type="dxa"/>
              <w:start w:w="80" w:type="dxa"/>
              <w:bottom w:w="70" w:type="dxa"/>
              <w:end w:w="80" w:type="dxa"/>
            </w:tcMar>
            <w:shd w:fill="F2F2F2"/>
          </w:tcPr>
          <w:p>
            <w:pPr>
              <w:spacing w:after="0"/>
            </w:pPr>
            <w:r/>
            <w:r>
              <w:rPr>
                <w:rFonts w:ascii="Calibri" w:hAnsi="Calibri"/>
                <w:b w:val="0"/>
                <w:color w:val="222222"/>
                <w:sz w:val="17"/>
              </w:rPr>
              <w:t>Opportunity-to-closed-won</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94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3744"/>
            <w:vAlign w:val="center"/>
            <w:tcMar>
              <w:top w:w="70" w:type="dxa"/>
              <w:start w:w="80" w:type="dxa"/>
              <w:bottom w:w="70" w:type="dxa"/>
              <w:end w:w="80" w:type="dxa"/>
            </w:tcMar>
          </w:tcPr>
          <w:p>
            <w:pPr>
              <w:spacing w:after="0"/>
            </w:pPr>
            <w:r/>
            <w:r>
              <w:rPr>
                <w:rFonts w:ascii="Calibri" w:hAnsi="Calibri"/>
                <w:b w:val="0"/>
                <w:color w:val="222222"/>
                <w:sz w:val="17"/>
              </w:rPr>
              <w:t>Average sales cycle</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days</w:t>
            </w:r>
          </w:p>
        </w:tc>
        <w:tc>
          <w:tcPr>
            <w:tcW w:type="dxa" w:w="1944"/>
            <w:vAlign w:val="center"/>
            <w:tcMar>
              <w:top w:w="70" w:type="dxa"/>
              <w:start w:w="80" w:type="dxa"/>
              <w:bottom w:w="70" w:type="dxa"/>
              <w:end w:w="80" w:type="dxa"/>
            </w:tcMar>
          </w:tcPr>
          <w:p>
            <w:pPr>
              <w:spacing w:after="0"/>
            </w:pPr>
            <w:r/>
            <w:r>
              <w:rPr>
                <w:rFonts w:ascii="Calibri" w:hAnsi="Calibri"/>
                <w:b w:val="0"/>
                <w:color w:val="222222"/>
                <w:sz w:val="17"/>
              </w:rPr>
              <w:t>days</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days</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3744"/>
            <w:vAlign w:val="center"/>
            <w:tcMar>
              <w:top w:w="70" w:type="dxa"/>
              <w:start w:w="80" w:type="dxa"/>
              <w:bottom w:w="70" w:type="dxa"/>
              <w:end w:w="80" w:type="dxa"/>
            </w:tcMar>
            <w:shd w:fill="F2F2F2"/>
          </w:tcPr>
          <w:p>
            <w:pPr>
              <w:spacing w:after="0"/>
            </w:pPr>
            <w:r/>
            <w:r>
              <w:rPr>
                <w:rFonts w:ascii="Calibri" w:hAnsi="Calibri"/>
                <w:b w:val="0"/>
                <w:color w:val="222222"/>
                <w:sz w:val="17"/>
              </w:rPr>
              <w:t>Stalled pipeline threshold</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days</w:t>
            </w:r>
          </w:p>
        </w:tc>
        <w:tc>
          <w:tcPr>
            <w:tcW w:type="dxa" w:w="1944"/>
            <w:vAlign w:val="center"/>
            <w:tcMar>
              <w:top w:w="70" w:type="dxa"/>
              <w:start w:w="80" w:type="dxa"/>
              <w:bottom w:w="70" w:type="dxa"/>
              <w:end w:w="80" w:type="dxa"/>
            </w:tcMar>
            <w:shd w:fill="F2F2F2"/>
          </w:tcPr>
          <w:p>
            <w:pPr>
              <w:spacing w:after="0"/>
            </w:pPr>
            <w:r/>
            <w:r>
              <w:rPr>
                <w:rFonts w:ascii="Calibri" w:hAnsi="Calibri"/>
                <w:b w:val="0"/>
                <w:color w:val="222222"/>
                <w:sz w:val="17"/>
              </w:rPr>
              <w:t>days</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days</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Sales Execution Priorities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2376"/>
            <w:vAlign w:val="center"/>
            <w:tcMar>
              <w:top w:w="70" w:type="dxa"/>
              <w:start w:w="80" w:type="dxa"/>
              <w:bottom w:w="70" w:type="dxa"/>
              <w:end w:w="80" w:type="dxa"/>
            </w:tcMar>
            <w:shd w:fill="1F2F4F"/>
          </w:tcPr>
          <w:p>
            <w:pPr>
              <w:spacing w:after="0"/>
            </w:pPr>
            <w:r/>
            <w:r>
              <w:rPr>
                <w:rFonts w:ascii="Calibri" w:hAnsi="Calibri"/>
                <w:b/>
                <w:color w:val="FFFFFF"/>
                <w:sz w:val="17"/>
              </w:rPr>
              <w:t>Execution Priority</w:t>
            </w:r>
          </w:p>
        </w:tc>
        <w:tc>
          <w:tcPr>
            <w:tcW w:type="dxa" w:w="1656"/>
            <w:vAlign w:val="center"/>
            <w:tcMar>
              <w:top w:w="70" w:type="dxa"/>
              <w:start w:w="80" w:type="dxa"/>
              <w:bottom w:w="70" w:type="dxa"/>
              <w:end w:w="80" w:type="dxa"/>
            </w:tcMar>
            <w:shd w:fill="1F2F4F"/>
          </w:tcPr>
          <w:p>
            <w:pPr>
              <w:spacing w:after="0"/>
            </w:pPr>
            <w:r/>
            <w:r>
              <w:rPr>
                <w:rFonts w:ascii="Calibri" w:hAnsi="Calibri"/>
                <w:b/>
                <w:color w:val="FFFFFF"/>
                <w:sz w:val="17"/>
              </w:rPr>
              <w:t>Current State</w:t>
            </w:r>
          </w:p>
        </w:tc>
        <w:tc>
          <w:tcPr>
            <w:tcW w:type="dxa" w:w="1656"/>
            <w:vAlign w:val="center"/>
            <w:tcMar>
              <w:top w:w="70" w:type="dxa"/>
              <w:start w:w="80" w:type="dxa"/>
              <w:bottom w:w="70" w:type="dxa"/>
              <w:end w:w="80" w:type="dxa"/>
            </w:tcMar>
            <w:shd w:fill="1F2F4F"/>
          </w:tcPr>
          <w:p>
            <w:pPr>
              <w:spacing w:after="0"/>
            </w:pPr>
            <w:r/>
            <w:r>
              <w:rPr>
                <w:rFonts w:ascii="Calibri" w:hAnsi="Calibri"/>
                <w:b/>
                <w:color w:val="FFFFFF"/>
                <w:sz w:val="17"/>
              </w:rPr>
              <w:t>Required State</w:t>
            </w:r>
          </w:p>
        </w:tc>
        <w:tc>
          <w:tcPr>
            <w:tcW w:type="dxa" w:w="2592"/>
            <w:vAlign w:val="center"/>
            <w:tcMar>
              <w:top w:w="70" w:type="dxa"/>
              <w:start w:w="80" w:type="dxa"/>
              <w:bottom w:w="70" w:type="dxa"/>
              <w:end w:w="80" w:type="dxa"/>
            </w:tcMar>
            <w:shd w:fill="1F2F4F"/>
          </w:tcPr>
          <w:p>
            <w:pPr>
              <w:spacing w:after="0"/>
            </w:pPr>
            <w:r/>
            <w:r>
              <w:rPr>
                <w:rFonts w:ascii="Calibri" w:hAnsi="Calibri"/>
                <w:b/>
                <w:color w:val="FFFFFF"/>
                <w:sz w:val="17"/>
              </w:rPr>
              <w:t>Key Action</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Due</w:t>
            </w:r>
          </w:p>
        </w:tc>
      </w:tr>
      <w:tr>
        <w:tc>
          <w:tcPr>
            <w:tcW w:type="dxa" w:w="2376"/>
            <w:vAlign w:val="center"/>
            <w:tcMar>
              <w:top w:w="70" w:type="dxa"/>
              <w:start w:w="80" w:type="dxa"/>
              <w:bottom w:w="70" w:type="dxa"/>
              <w:end w:w="80" w:type="dxa"/>
            </w:tcMar>
          </w:tcPr>
          <w:p>
            <w:pPr>
              <w:spacing w:after="0"/>
            </w:pPr>
            <w:r/>
            <w:r>
              <w:rPr>
                <w:rFonts w:ascii="Calibri" w:hAnsi="Calibri"/>
                <w:b w:val="0"/>
                <w:color w:val="222222"/>
                <w:sz w:val="17"/>
              </w:rPr>
              <w:t>Prospecting discipline</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376"/>
            <w:vAlign w:val="center"/>
            <w:tcMar>
              <w:top w:w="70" w:type="dxa"/>
              <w:start w:w="80" w:type="dxa"/>
              <w:bottom w:w="70" w:type="dxa"/>
              <w:end w:w="80" w:type="dxa"/>
            </w:tcMar>
            <w:shd w:fill="F2F2F2"/>
          </w:tcPr>
          <w:p>
            <w:pPr>
              <w:spacing w:after="0"/>
            </w:pPr>
            <w:r/>
            <w:r>
              <w:rPr>
                <w:rFonts w:ascii="Calibri" w:hAnsi="Calibri"/>
                <w:b w:val="0"/>
                <w:color w:val="222222"/>
                <w:sz w:val="17"/>
              </w:rPr>
              <w:t>Qualification consistency</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376"/>
            <w:vAlign w:val="center"/>
            <w:tcMar>
              <w:top w:w="70" w:type="dxa"/>
              <w:start w:w="80" w:type="dxa"/>
              <w:bottom w:w="70" w:type="dxa"/>
              <w:end w:w="80" w:type="dxa"/>
            </w:tcMar>
          </w:tcPr>
          <w:p>
            <w:pPr>
              <w:spacing w:after="0"/>
            </w:pPr>
            <w:r/>
            <w:r>
              <w:rPr>
                <w:rFonts w:ascii="Calibri" w:hAnsi="Calibri"/>
                <w:b w:val="0"/>
                <w:color w:val="222222"/>
                <w:sz w:val="17"/>
              </w:rPr>
              <w:t>Discovery quality</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376"/>
            <w:vAlign w:val="center"/>
            <w:tcMar>
              <w:top w:w="70" w:type="dxa"/>
              <w:start w:w="80" w:type="dxa"/>
              <w:bottom w:w="70" w:type="dxa"/>
              <w:end w:w="80" w:type="dxa"/>
            </w:tcMar>
            <w:shd w:fill="F2F2F2"/>
          </w:tcPr>
          <w:p>
            <w:pPr>
              <w:spacing w:after="0"/>
            </w:pPr>
            <w:r/>
            <w:r>
              <w:rPr>
                <w:rFonts w:ascii="Calibri" w:hAnsi="Calibri"/>
                <w:b w:val="0"/>
                <w:color w:val="222222"/>
                <w:sz w:val="17"/>
              </w:rPr>
              <w:t>Proposal / presentation quality</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376"/>
            <w:vAlign w:val="center"/>
            <w:tcMar>
              <w:top w:w="70" w:type="dxa"/>
              <w:start w:w="80" w:type="dxa"/>
              <w:bottom w:w="70" w:type="dxa"/>
              <w:end w:w="80" w:type="dxa"/>
            </w:tcMar>
          </w:tcPr>
          <w:p>
            <w:pPr>
              <w:spacing w:after="0"/>
            </w:pPr>
            <w:r/>
            <w:r>
              <w:rPr>
                <w:rFonts w:ascii="Calibri" w:hAnsi="Calibri"/>
                <w:b w:val="0"/>
                <w:color w:val="222222"/>
                <w:sz w:val="17"/>
              </w:rPr>
              <w:t>Negotiation / discount control</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376"/>
            <w:vAlign w:val="center"/>
            <w:tcMar>
              <w:top w:w="70" w:type="dxa"/>
              <w:start w:w="80" w:type="dxa"/>
              <w:bottom w:w="70" w:type="dxa"/>
              <w:end w:w="80" w:type="dxa"/>
            </w:tcMar>
            <w:shd w:fill="F2F2F2"/>
          </w:tcPr>
          <w:p>
            <w:pPr>
              <w:spacing w:after="0"/>
            </w:pPr>
            <w:r/>
            <w:r>
              <w:rPr>
                <w:rFonts w:ascii="Calibri" w:hAnsi="Calibri"/>
                <w:b w:val="0"/>
                <w:color w:val="222222"/>
                <w:sz w:val="17"/>
              </w:rPr>
              <w:t>Closing discipline</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376"/>
            <w:vAlign w:val="center"/>
            <w:tcMar>
              <w:top w:w="70" w:type="dxa"/>
              <w:start w:w="80" w:type="dxa"/>
              <w:bottom w:w="70" w:type="dxa"/>
              <w:end w:w="80" w:type="dxa"/>
            </w:tcMar>
          </w:tcPr>
          <w:p>
            <w:pPr>
              <w:spacing w:after="0"/>
            </w:pPr>
            <w:r/>
            <w:r>
              <w:rPr>
                <w:rFonts w:ascii="Calibri" w:hAnsi="Calibri"/>
                <w:b w:val="0"/>
                <w:color w:val="222222"/>
                <w:sz w:val="17"/>
              </w:rPr>
              <w:t>CRM hygiene</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Customer Retention &amp; Expansion Plan</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2592"/>
            <w:vAlign w:val="center"/>
            <w:tcMar>
              <w:top w:w="70" w:type="dxa"/>
              <w:start w:w="80" w:type="dxa"/>
              <w:bottom w:w="70" w:type="dxa"/>
              <w:end w:w="80" w:type="dxa"/>
            </w:tcMar>
            <w:shd w:fill="1F2F4F"/>
          </w:tcPr>
          <w:p>
            <w:pPr>
              <w:spacing w:after="0"/>
            </w:pPr>
            <w:r/>
            <w:r>
              <w:rPr>
                <w:rFonts w:ascii="Calibri" w:hAnsi="Calibri"/>
                <w:b/>
                <w:color w:val="FFFFFF"/>
                <w:sz w:val="17"/>
              </w:rPr>
              <w:t>Customer Metric</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Prior Year</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Target</w:t>
            </w:r>
          </w:p>
        </w:tc>
        <w:tc>
          <w:tcPr>
            <w:tcW w:type="dxa" w:w="1656"/>
            <w:vAlign w:val="center"/>
            <w:tcMar>
              <w:top w:w="70" w:type="dxa"/>
              <w:start w:w="80" w:type="dxa"/>
              <w:bottom w:w="70" w:type="dxa"/>
              <w:end w:w="80" w:type="dxa"/>
            </w:tcMar>
            <w:shd w:fill="1F2F4F"/>
          </w:tcPr>
          <w:p>
            <w:pPr>
              <w:spacing w:after="0"/>
            </w:pPr>
            <w:r/>
            <w:r>
              <w:rPr>
                <w:rFonts w:ascii="Calibri" w:hAnsi="Calibri"/>
                <w:b/>
                <w:color w:val="FFFFFF"/>
                <w:sz w:val="17"/>
              </w:rPr>
              <w:t>Dollar Impact</w:t>
            </w:r>
          </w:p>
        </w:tc>
        <w:tc>
          <w:tcPr>
            <w:tcW w:type="dxa" w:w="2592"/>
            <w:vAlign w:val="center"/>
            <w:tcMar>
              <w:top w:w="70" w:type="dxa"/>
              <w:start w:w="80" w:type="dxa"/>
              <w:bottom w:w="70" w:type="dxa"/>
              <w:end w:w="80" w:type="dxa"/>
            </w:tcMar>
            <w:shd w:fill="1F2F4F"/>
          </w:tcPr>
          <w:p>
            <w:pPr>
              <w:spacing w:after="0"/>
            </w:pPr>
            <w:r/>
            <w:r>
              <w:rPr>
                <w:rFonts w:ascii="Calibri" w:hAnsi="Calibri"/>
                <w:b/>
                <w:color w:val="FFFFFF"/>
                <w:sz w:val="17"/>
              </w:rPr>
              <w:t>Primary Action</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Gross retention</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t>Net revenue retention</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Renewal rate</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t>Churn rate</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Expansion / upsell rate</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t>Customer concentration</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592"/>
            <w:vAlign w:val="center"/>
            <w:tcMar>
              <w:top w:w="70" w:type="dxa"/>
              <w:start w:w="80" w:type="dxa"/>
              <w:bottom w:w="70" w:type="dxa"/>
              <w:end w:w="80" w:type="dxa"/>
            </w:tcMar>
          </w:tcPr>
          <w:p>
            <w:pPr>
              <w:spacing w:after="0"/>
            </w:pPr>
            <w:r/>
            <w:r>
              <w:rPr>
                <w:rFonts w:ascii="Calibri" w:hAnsi="Calibri"/>
                <w:b w:val="0"/>
                <w:color w:val="222222"/>
                <w:sz w:val="17"/>
              </w:rPr>
              <w:t>At-risk revenue</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Revenue Capacity &amp; Headcount</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440"/>
        <w:gridCol w:w="1440"/>
        <w:gridCol w:w="1440"/>
        <w:gridCol w:w="1440"/>
        <w:gridCol w:w="1440"/>
        <w:gridCol w:w="1440"/>
        <w:gridCol w:w="1440"/>
      </w:tblGrid>
      <w:tr>
        <w:tc>
          <w:tcPr>
            <w:tcW w:type="dxa" w:w="2880"/>
            <w:vAlign w:val="center"/>
            <w:tcMar>
              <w:top w:w="70" w:type="dxa"/>
              <w:start w:w="80" w:type="dxa"/>
              <w:bottom w:w="70" w:type="dxa"/>
              <w:end w:w="80" w:type="dxa"/>
            </w:tcMar>
            <w:shd w:fill="1F2F4F"/>
          </w:tcPr>
          <w:p>
            <w:pPr>
              <w:spacing w:after="0"/>
            </w:pPr>
            <w:r/>
            <w:r>
              <w:rPr>
                <w:rFonts w:ascii="Calibri" w:hAnsi="Calibri"/>
                <w:b/>
                <w:color w:val="FFFFFF"/>
                <w:sz w:val="17"/>
              </w:rPr>
              <w:t>Role / Capacity Driver</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Current</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Required</w:t>
            </w:r>
          </w:p>
        </w:tc>
        <w:tc>
          <w:tcPr>
            <w:tcW w:type="dxa" w:w="1008"/>
            <w:vAlign w:val="center"/>
            <w:tcMar>
              <w:top w:w="70" w:type="dxa"/>
              <w:start w:w="80" w:type="dxa"/>
              <w:bottom w:w="70" w:type="dxa"/>
              <w:end w:w="80" w:type="dxa"/>
            </w:tcMar>
            <w:shd w:fill="1F2F4F"/>
          </w:tcPr>
          <w:p>
            <w:pPr>
              <w:spacing w:after="0"/>
            </w:pPr>
            <w:r/>
            <w:r>
              <w:rPr>
                <w:rFonts w:ascii="Calibri" w:hAnsi="Calibri"/>
                <w:b/>
                <w:color w:val="FFFFFF"/>
                <w:sz w:val="17"/>
              </w:rPr>
              <w:t>Gap</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Timing</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Budget</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Revenue leadership</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008"/>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Sales capacity</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0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Marketing capacity</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008"/>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RevOps / CRM capacity</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0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Customer success / account management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008"/>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External partners / agencies</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0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Revenue Technology &amp; Data Priorities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2160"/>
            <w:vAlign w:val="center"/>
            <w:tcMar>
              <w:top w:w="70" w:type="dxa"/>
              <w:start w:w="80" w:type="dxa"/>
              <w:bottom w:w="70" w:type="dxa"/>
              <w:end w:w="80" w:type="dxa"/>
            </w:tcMar>
            <w:shd w:fill="1F2F4F"/>
          </w:tcPr>
          <w:p>
            <w:pPr>
              <w:spacing w:after="0"/>
            </w:pPr>
            <w:r/>
            <w:r>
              <w:rPr>
                <w:rFonts w:ascii="Calibri" w:hAnsi="Calibri"/>
                <w:b/>
                <w:color w:val="FFFFFF"/>
                <w:sz w:val="17"/>
              </w:rPr>
              <w:t>System / Data Area</w:t>
            </w:r>
          </w:p>
        </w:tc>
        <w:tc>
          <w:tcPr>
            <w:tcW w:type="dxa" w:w="2160"/>
            <w:vAlign w:val="center"/>
            <w:tcMar>
              <w:top w:w="70" w:type="dxa"/>
              <w:start w:w="80" w:type="dxa"/>
              <w:bottom w:w="70" w:type="dxa"/>
              <w:end w:w="80" w:type="dxa"/>
            </w:tcMar>
            <w:shd w:fill="1F2F4F"/>
          </w:tcPr>
          <w:p>
            <w:pPr>
              <w:spacing w:after="0"/>
            </w:pPr>
            <w:r/>
            <w:r>
              <w:rPr>
                <w:rFonts w:ascii="Calibri" w:hAnsi="Calibri"/>
                <w:b/>
                <w:color w:val="FFFFFF"/>
                <w:sz w:val="17"/>
              </w:rPr>
              <w:t>Issue / Need</w:t>
            </w:r>
          </w:p>
        </w:tc>
        <w:tc>
          <w:tcPr>
            <w:tcW w:type="dxa" w:w="2448"/>
            <w:vAlign w:val="center"/>
            <w:tcMar>
              <w:top w:w="70" w:type="dxa"/>
              <w:start w:w="80" w:type="dxa"/>
              <w:bottom w:w="70" w:type="dxa"/>
              <w:end w:w="80" w:type="dxa"/>
            </w:tcMar>
            <w:shd w:fill="1F2F4F"/>
          </w:tcPr>
          <w:p>
            <w:pPr>
              <w:spacing w:after="0"/>
            </w:pPr>
            <w:r/>
            <w:r>
              <w:rPr>
                <w:rFonts w:ascii="Calibri" w:hAnsi="Calibri"/>
                <w:b/>
                <w:color w:val="FFFFFF"/>
                <w:sz w:val="17"/>
              </w:rPr>
              <w:t>Required Improvement</w:t>
            </w:r>
          </w:p>
        </w:tc>
        <w:tc>
          <w:tcPr>
            <w:tcW w:type="dxa" w:w="2016"/>
            <w:vAlign w:val="center"/>
            <w:tcMar>
              <w:top w:w="70" w:type="dxa"/>
              <w:start w:w="80" w:type="dxa"/>
              <w:bottom w:w="70" w:type="dxa"/>
              <w:end w:w="80" w:type="dxa"/>
            </w:tcMar>
            <w:shd w:fill="1F2F4F"/>
          </w:tcPr>
          <w:p>
            <w:pPr>
              <w:spacing w:after="0"/>
            </w:pPr>
            <w:r/>
            <w:r>
              <w:rPr>
                <w:rFonts w:ascii="Calibri" w:hAnsi="Calibri"/>
                <w:b/>
                <w:color w:val="FFFFFF"/>
                <w:sz w:val="17"/>
              </w:rPr>
              <w:t>Business Impact</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Due</w:t>
            </w:r>
          </w:p>
        </w:tc>
      </w:tr>
      <w:tr>
        <w:tc>
          <w:tcPr>
            <w:tcW w:type="dxa" w:w="2160"/>
            <w:vAlign w:val="center"/>
            <w:tcMar>
              <w:top w:w="70" w:type="dxa"/>
              <w:start w:w="80" w:type="dxa"/>
              <w:bottom w:w="70" w:type="dxa"/>
              <w:end w:w="80" w:type="dxa"/>
            </w:tcMar>
          </w:tcPr>
          <w:p>
            <w:pPr>
              <w:spacing w:after="0"/>
            </w:pPr>
            <w:r/>
            <w:r>
              <w:rPr>
                <w:rFonts w:ascii="Calibri" w:hAnsi="Calibri"/>
                <w:b w:val="0"/>
                <w:color w:val="222222"/>
                <w:sz w:val="17"/>
              </w:rPr>
              <w:t>CRM</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448"/>
            <w:vAlign w:val="center"/>
            <w:tcMar>
              <w:top w:w="70" w:type="dxa"/>
              <w:start w:w="80" w:type="dxa"/>
              <w:bottom w:w="70" w:type="dxa"/>
              <w:end w:w="80" w:type="dxa"/>
            </w:tcMar>
          </w:tcPr>
          <w:p>
            <w:pPr>
              <w:spacing w:after="0"/>
            </w:pPr>
            <w:r/>
            <w:r>
              <w:rPr>
                <w:rFonts w:ascii="Calibri" w:hAnsi="Calibri"/>
                <w:b w:val="0"/>
                <w:color w:val="222222"/>
                <w:sz w:val="17"/>
              </w:rPr>
            </w:r>
          </w:p>
        </w:tc>
        <w:tc>
          <w:tcPr>
            <w:tcW w:type="dxa" w:w="201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t>Marketing automation</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01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tcPr>
          <w:p>
            <w:pPr>
              <w:spacing w:after="0"/>
            </w:pPr>
            <w:r/>
            <w:r>
              <w:rPr>
                <w:rFonts w:ascii="Calibri" w:hAnsi="Calibri"/>
                <w:b w:val="0"/>
                <w:color w:val="222222"/>
                <w:sz w:val="17"/>
              </w:rPr>
              <w:t>Quoting / proposal</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448"/>
            <w:vAlign w:val="center"/>
            <w:tcMar>
              <w:top w:w="70" w:type="dxa"/>
              <w:start w:w="80" w:type="dxa"/>
              <w:bottom w:w="70" w:type="dxa"/>
              <w:end w:w="80" w:type="dxa"/>
            </w:tcMar>
          </w:tcPr>
          <w:p>
            <w:pPr>
              <w:spacing w:after="0"/>
            </w:pPr>
            <w:r/>
            <w:r>
              <w:rPr>
                <w:rFonts w:ascii="Calibri" w:hAnsi="Calibri"/>
                <w:b w:val="0"/>
                <w:color w:val="222222"/>
                <w:sz w:val="17"/>
              </w:rPr>
            </w:r>
          </w:p>
        </w:tc>
        <w:tc>
          <w:tcPr>
            <w:tcW w:type="dxa" w:w="201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t>Reporting / BI</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01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tcPr>
          <w:p>
            <w:pPr>
              <w:spacing w:after="0"/>
            </w:pPr>
            <w:r/>
            <w:r>
              <w:rPr>
                <w:rFonts w:ascii="Calibri" w:hAnsi="Calibri"/>
                <w:b w:val="0"/>
                <w:color w:val="222222"/>
                <w:sz w:val="17"/>
              </w:rPr>
              <w:t>Customer success / support</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448"/>
            <w:vAlign w:val="center"/>
            <w:tcMar>
              <w:top w:w="70" w:type="dxa"/>
              <w:start w:w="80" w:type="dxa"/>
              <w:bottom w:w="70" w:type="dxa"/>
              <w:end w:w="80" w:type="dxa"/>
            </w:tcMar>
          </w:tcPr>
          <w:p>
            <w:pPr>
              <w:spacing w:after="0"/>
            </w:pPr>
            <w:r/>
            <w:r>
              <w:rPr>
                <w:rFonts w:ascii="Calibri" w:hAnsi="Calibri"/>
                <w:b w:val="0"/>
                <w:color w:val="222222"/>
                <w:sz w:val="17"/>
              </w:rPr>
            </w:r>
          </w:p>
        </w:tc>
        <w:tc>
          <w:tcPr>
            <w:tcW w:type="dxa" w:w="201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t>Billing / finance integration</w:t>
            </w:r>
          </w:p>
        </w:tc>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44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01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tcPr>
          <w:p>
            <w:pPr>
              <w:spacing w:after="0"/>
            </w:pPr>
            <w:r/>
            <w:r>
              <w:rPr>
                <w:rFonts w:ascii="Calibri" w:hAnsi="Calibri"/>
                <w:b w:val="0"/>
                <w:color w:val="222222"/>
                <w:sz w:val="17"/>
              </w:rPr>
              <w:t>Data quality / governance</w:t>
            </w:r>
          </w:p>
        </w:tc>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448"/>
            <w:vAlign w:val="center"/>
            <w:tcMar>
              <w:top w:w="70" w:type="dxa"/>
              <w:start w:w="80" w:type="dxa"/>
              <w:bottom w:w="70" w:type="dxa"/>
              <w:end w:w="80" w:type="dxa"/>
            </w:tcMar>
          </w:tcPr>
          <w:p>
            <w:pPr>
              <w:spacing w:after="0"/>
            </w:pPr>
            <w:r/>
            <w:r>
              <w:rPr>
                <w:rFonts w:ascii="Calibri" w:hAnsi="Calibri"/>
                <w:b w:val="0"/>
                <w:color w:val="222222"/>
                <w:sz w:val="17"/>
              </w:rPr>
            </w:r>
          </w:p>
        </w:tc>
        <w:tc>
          <w:tcPr>
            <w:tcW w:type="dxa" w:w="2016"/>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Strategic Revenue Initiatives Portfolio</w:t>
            </w:r>
          </w:p>
          <w:p>
            <w:pPr>
              <w:spacing w:after="0"/>
            </w:pPr>
            <w:r>
              <w:rPr>
                <w:rFonts w:ascii="Calibri" w:hAnsi="Calibri"/>
                <w:i/>
                <w:color w:val="777777"/>
                <w:sz w:val="19"/>
              </w:rPr>
              <w:t>Track only initiatives that materially improve growth, retention, margin, predictability, or revenue capacity.</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440"/>
        <w:gridCol w:w="1440"/>
        <w:gridCol w:w="1440"/>
        <w:gridCol w:w="1440"/>
        <w:gridCol w:w="1440"/>
        <w:gridCol w:w="1440"/>
        <w:gridCol w:w="1440"/>
      </w:tblGrid>
      <w:tr>
        <w:tc>
          <w:tcPr>
            <w:tcW w:type="dxa" w:w="2160"/>
            <w:vAlign w:val="center"/>
            <w:tcMar>
              <w:top w:w="70" w:type="dxa"/>
              <w:start w:w="80" w:type="dxa"/>
              <w:bottom w:w="70" w:type="dxa"/>
              <w:end w:w="80" w:type="dxa"/>
            </w:tcMar>
            <w:shd w:fill="1F2F4F"/>
          </w:tcPr>
          <w:p>
            <w:pPr>
              <w:spacing w:after="0"/>
            </w:pPr>
            <w:r/>
            <w:r>
              <w:rPr>
                <w:rFonts w:ascii="Calibri" w:hAnsi="Calibri"/>
                <w:b/>
                <w:color w:val="FFFFFF"/>
                <w:sz w:val="17"/>
              </w:rPr>
              <w:t>Initiative</w:t>
            </w:r>
          </w:p>
        </w:tc>
        <w:tc>
          <w:tcPr>
            <w:tcW w:type="dxa" w:w="2592"/>
            <w:vAlign w:val="center"/>
            <w:tcMar>
              <w:top w:w="70" w:type="dxa"/>
              <w:start w:w="80" w:type="dxa"/>
              <w:bottom w:w="70" w:type="dxa"/>
              <w:end w:w="80" w:type="dxa"/>
            </w:tcMar>
            <w:shd w:fill="1F2F4F"/>
          </w:tcPr>
          <w:p>
            <w:pPr>
              <w:spacing w:after="0"/>
            </w:pPr>
            <w:r/>
            <w:r>
              <w:rPr>
                <w:rFonts w:ascii="Calibri" w:hAnsi="Calibri"/>
                <w:b/>
                <w:color w:val="FFFFFF"/>
                <w:sz w:val="17"/>
              </w:rPr>
              <w:t>Business Outcome</w:t>
            </w:r>
          </w:p>
        </w:tc>
        <w:tc>
          <w:tcPr>
            <w:tcW w:type="dxa" w:w="1872"/>
            <w:vAlign w:val="center"/>
            <w:tcMar>
              <w:top w:w="70" w:type="dxa"/>
              <w:start w:w="80" w:type="dxa"/>
              <w:bottom w:w="70" w:type="dxa"/>
              <w:end w:w="80" w:type="dxa"/>
            </w:tcMar>
            <w:shd w:fill="1F2F4F"/>
          </w:tcPr>
          <w:p>
            <w:pPr>
              <w:spacing w:after="0"/>
            </w:pPr>
            <w:r/>
            <w:r>
              <w:rPr>
                <w:rFonts w:ascii="Calibri" w:hAnsi="Calibri"/>
                <w:b/>
                <w:color w:val="FFFFFF"/>
                <w:sz w:val="17"/>
              </w:rPr>
              <w:t>Revenue / Margin Impact</w:t>
            </w:r>
          </w:p>
        </w:tc>
        <w:tc>
          <w:tcPr>
            <w:tcW w:type="dxa" w:w="1296"/>
            <w:vAlign w:val="center"/>
            <w:tcMar>
              <w:top w:w="70" w:type="dxa"/>
              <w:start w:w="80" w:type="dxa"/>
              <w:bottom w:w="70" w:type="dxa"/>
              <w:end w:w="80" w:type="dxa"/>
            </w:tcMar>
            <w:shd w:fill="1F2F4F"/>
          </w:tcPr>
          <w:p>
            <w:pPr>
              <w:spacing w:after="0"/>
            </w:pPr>
            <w:r/>
            <w:r>
              <w:rPr>
                <w:rFonts w:ascii="Calibri" w:hAnsi="Calibri"/>
                <w:b/>
                <w:color w:val="FFFFFF"/>
                <w:sz w:val="17"/>
              </w:rPr>
              <w:t>Owner</w:t>
            </w:r>
          </w:p>
        </w:tc>
        <w:tc>
          <w:tcPr>
            <w:tcW w:type="dxa" w:w="1080"/>
            <w:vAlign w:val="center"/>
            <w:tcMar>
              <w:top w:w="70" w:type="dxa"/>
              <w:start w:w="80" w:type="dxa"/>
              <w:bottom w:w="70" w:type="dxa"/>
              <w:end w:w="80" w:type="dxa"/>
            </w:tcMar>
            <w:shd w:fill="1F2F4F"/>
          </w:tcPr>
          <w:p>
            <w:pPr>
              <w:spacing w:after="0"/>
            </w:pPr>
            <w:r/>
            <w:r>
              <w:rPr>
                <w:rFonts w:ascii="Calibri" w:hAnsi="Calibri"/>
                <w:b/>
                <w:color w:val="FFFFFF"/>
                <w:sz w:val="17"/>
              </w:rPr>
              <w:t>Quarter</w:t>
            </w:r>
          </w:p>
        </w:tc>
        <w:tc>
          <w:tcPr>
            <w:tcW w:type="dxa" w:w="1224"/>
            <w:vAlign w:val="center"/>
            <w:tcMar>
              <w:top w:w="70" w:type="dxa"/>
              <w:start w:w="80" w:type="dxa"/>
              <w:bottom w:w="70" w:type="dxa"/>
              <w:end w:w="80" w:type="dxa"/>
            </w:tcMar>
            <w:shd w:fill="1F2F4F"/>
          </w:tcPr>
          <w:p>
            <w:pPr>
              <w:spacing w:after="0"/>
            </w:pPr>
            <w:r/>
            <w:r>
              <w:rPr>
                <w:rFonts w:ascii="Calibri" w:hAnsi="Calibri"/>
                <w:b/>
                <w:color w:val="FFFFFF"/>
                <w:sz w:val="17"/>
              </w:rPr>
              <w:t>Budget</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Status</w:t>
            </w:r>
          </w:p>
        </w:tc>
      </w:tr>
      <w:tr>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16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872"/>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Revenue Budget Allocation</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016"/>
        <w:gridCol w:w="2016"/>
        <w:gridCol w:w="2016"/>
        <w:gridCol w:w="2016"/>
        <w:gridCol w:w="2016"/>
      </w:tblGrid>
      <w:tr>
        <w:tc>
          <w:tcPr>
            <w:tcW w:type="dxa" w:w="2880"/>
            <w:vAlign w:val="center"/>
            <w:tcMar>
              <w:top w:w="70" w:type="dxa"/>
              <w:start w:w="80" w:type="dxa"/>
              <w:bottom w:w="70" w:type="dxa"/>
              <w:end w:w="80" w:type="dxa"/>
            </w:tcMar>
            <w:shd w:fill="1F2F4F"/>
          </w:tcPr>
          <w:p>
            <w:pPr>
              <w:spacing w:after="0"/>
            </w:pPr>
            <w:r/>
            <w:r>
              <w:rPr>
                <w:rFonts w:ascii="Calibri" w:hAnsi="Calibri"/>
                <w:b/>
                <w:color w:val="FFFFFF"/>
                <w:sz w:val="17"/>
              </w:rPr>
              <w:t>Investment Category</w:t>
            </w:r>
          </w:p>
        </w:tc>
        <w:tc>
          <w:tcPr>
            <w:tcW w:type="dxa" w:w="1800"/>
            <w:vAlign w:val="center"/>
            <w:tcMar>
              <w:top w:w="70" w:type="dxa"/>
              <w:start w:w="80" w:type="dxa"/>
              <w:bottom w:w="70" w:type="dxa"/>
              <w:end w:w="80" w:type="dxa"/>
            </w:tcMar>
            <w:shd w:fill="1F2F4F"/>
          </w:tcPr>
          <w:p>
            <w:pPr>
              <w:spacing w:after="0"/>
            </w:pPr>
            <w:r/>
            <w:r>
              <w:rPr>
                <w:rFonts w:ascii="Calibri" w:hAnsi="Calibri"/>
                <w:b/>
                <w:color w:val="FFFFFF"/>
                <w:sz w:val="17"/>
              </w:rPr>
              <w:t>Annual Budget</w:t>
            </w:r>
          </w:p>
        </w:tc>
        <w:tc>
          <w:tcPr>
            <w:tcW w:type="dxa" w:w="1656"/>
            <w:vAlign w:val="center"/>
            <w:tcMar>
              <w:top w:w="70" w:type="dxa"/>
              <w:start w:w="80" w:type="dxa"/>
              <w:bottom w:w="70" w:type="dxa"/>
              <w:end w:w="80" w:type="dxa"/>
            </w:tcMar>
            <w:shd w:fill="1F2F4F"/>
          </w:tcPr>
          <w:p>
            <w:pPr>
              <w:spacing w:after="0"/>
            </w:pPr>
            <w:r/>
            <w:r>
              <w:rPr>
                <w:rFonts w:ascii="Calibri" w:hAnsi="Calibri"/>
                <w:b/>
                <w:color w:val="FFFFFF"/>
                <w:sz w:val="17"/>
              </w:rPr>
              <w:t>% of Revenue</w:t>
            </w:r>
          </w:p>
        </w:tc>
        <w:tc>
          <w:tcPr>
            <w:tcW w:type="dxa" w:w="3312"/>
            <w:vAlign w:val="center"/>
            <w:tcMar>
              <w:top w:w="70" w:type="dxa"/>
              <w:start w:w="80" w:type="dxa"/>
              <w:bottom w:w="70" w:type="dxa"/>
              <w:end w:w="80" w:type="dxa"/>
            </w:tcMar>
            <w:shd w:fill="1F2F4F"/>
          </w:tcPr>
          <w:p>
            <w:pPr>
              <w:spacing w:after="0"/>
            </w:pPr>
            <w:r/>
            <w:r>
              <w:rPr>
                <w:rFonts w:ascii="Calibri" w:hAnsi="Calibri"/>
                <w:b/>
                <w:color w:val="FFFFFF"/>
                <w:sz w:val="17"/>
              </w:rPr>
              <w:t>Expected Return / Outcome</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Sales payroll / commissions</w:t>
            </w:r>
          </w:p>
        </w:tc>
        <w:tc>
          <w:tcPr>
            <w:tcW w:type="dxa" w:w="180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Marketing programs</w:t>
            </w:r>
          </w:p>
        </w:tc>
        <w:tc>
          <w:tcPr>
            <w:tcW w:type="dxa" w:w="180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Revenue technology</w:t>
            </w:r>
          </w:p>
        </w:tc>
        <w:tc>
          <w:tcPr>
            <w:tcW w:type="dxa" w:w="180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Customer success / retention</w:t>
            </w:r>
          </w:p>
        </w:tc>
        <w:tc>
          <w:tcPr>
            <w:tcW w:type="dxa" w:w="180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Partners / agencies</w:t>
            </w:r>
          </w:p>
        </w:tc>
        <w:tc>
          <w:tcPr>
            <w:tcW w:type="dxa" w:w="180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Training / enablement</w:t>
            </w:r>
          </w:p>
        </w:tc>
        <w:tc>
          <w:tcPr>
            <w:tcW w:type="dxa" w:w="180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Other</w:t>
            </w:r>
          </w:p>
        </w:tc>
        <w:tc>
          <w:tcPr>
            <w:tcW w:type="dxa" w:w="180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TOTAL</w:t>
            </w:r>
          </w:p>
        </w:tc>
        <w:tc>
          <w:tcPr>
            <w:tcW w:type="dxa" w:w="180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656"/>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331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Key Revenue Risks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440"/>
        <w:gridCol w:w="1440"/>
        <w:gridCol w:w="1440"/>
        <w:gridCol w:w="1440"/>
        <w:gridCol w:w="1440"/>
        <w:gridCol w:w="1440"/>
        <w:gridCol w:w="1440"/>
      </w:tblGrid>
      <w:tr>
        <w:tc>
          <w:tcPr>
            <w:tcW w:type="dxa" w:w="2016"/>
            <w:vAlign w:val="center"/>
            <w:tcMar>
              <w:top w:w="70" w:type="dxa"/>
              <w:start w:w="80" w:type="dxa"/>
              <w:bottom w:w="70" w:type="dxa"/>
              <w:end w:w="80" w:type="dxa"/>
            </w:tcMar>
            <w:shd w:fill="1F2F4F"/>
          </w:tcPr>
          <w:p>
            <w:pPr>
              <w:spacing w:after="0"/>
            </w:pPr>
            <w:r/>
            <w:r>
              <w:rPr>
                <w:rFonts w:ascii="Calibri" w:hAnsi="Calibri"/>
                <w:b/>
                <w:color w:val="FFFFFF"/>
                <w:sz w:val="17"/>
              </w:rPr>
              <w:t>Risk</w:t>
            </w:r>
          </w:p>
        </w:tc>
        <w:tc>
          <w:tcPr>
            <w:tcW w:type="dxa" w:w="1224"/>
            <w:vAlign w:val="center"/>
            <w:tcMar>
              <w:top w:w="70" w:type="dxa"/>
              <w:start w:w="80" w:type="dxa"/>
              <w:bottom w:w="70" w:type="dxa"/>
              <w:end w:w="80" w:type="dxa"/>
            </w:tcMar>
            <w:shd w:fill="1F2F4F"/>
          </w:tcPr>
          <w:p>
            <w:pPr>
              <w:spacing w:after="0"/>
            </w:pPr>
            <w:r/>
            <w:r>
              <w:rPr>
                <w:rFonts w:ascii="Calibri" w:hAnsi="Calibri"/>
                <w:b/>
                <w:color w:val="FFFFFF"/>
                <w:sz w:val="17"/>
              </w:rPr>
              <w:t>Likelihood</w:t>
            </w:r>
          </w:p>
        </w:tc>
        <w:tc>
          <w:tcPr>
            <w:tcW w:type="dxa" w:w="1080"/>
            <w:vAlign w:val="center"/>
            <w:tcMar>
              <w:top w:w="70" w:type="dxa"/>
              <w:start w:w="80" w:type="dxa"/>
              <w:bottom w:w="70" w:type="dxa"/>
              <w:end w:w="80" w:type="dxa"/>
            </w:tcMar>
            <w:shd w:fill="1F2F4F"/>
          </w:tcPr>
          <w:p>
            <w:pPr>
              <w:spacing w:after="0"/>
            </w:pPr>
            <w:r/>
            <w:r>
              <w:rPr>
                <w:rFonts w:ascii="Calibri" w:hAnsi="Calibri"/>
                <w:b/>
                <w:color w:val="FFFFFF"/>
                <w:sz w:val="17"/>
              </w:rPr>
              <w:t>Impact</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Revenue Exposure</w:t>
            </w:r>
          </w:p>
        </w:tc>
        <w:tc>
          <w:tcPr>
            <w:tcW w:type="dxa" w:w="2232"/>
            <w:vAlign w:val="center"/>
            <w:tcMar>
              <w:top w:w="70" w:type="dxa"/>
              <w:start w:w="80" w:type="dxa"/>
              <w:bottom w:w="70" w:type="dxa"/>
              <w:end w:w="80" w:type="dxa"/>
            </w:tcMar>
            <w:shd w:fill="1F2F4F"/>
          </w:tcPr>
          <w:p>
            <w:pPr>
              <w:spacing w:after="0"/>
            </w:pPr>
            <w:r/>
            <w:r>
              <w:rPr>
                <w:rFonts w:ascii="Calibri" w:hAnsi="Calibri"/>
                <w:b/>
                <w:color w:val="FFFFFF"/>
                <w:sz w:val="17"/>
              </w:rPr>
              <w:t>Mitigation</w:t>
            </w:r>
          </w:p>
        </w:tc>
        <w:tc>
          <w:tcPr>
            <w:tcW w:type="dxa" w:w="1296"/>
            <w:vAlign w:val="center"/>
            <w:tcMar>
              <w:top w:w="70" w:type="dxa"/>
              <w:start w:w="80" w:type="dxa"/>
              <w:bottom w:w="70" w:type="dxa"/>
              <w:end w:w="80" w:type="dxa"/>
            </w:tcMar>
            <w:shd w:fill="1F2F4F"/>
          </w:tcPr>
          <w:p>
            <w:pPr>
              <w:spacing w:after="0"/>
            </w:pPr>
            <w:r/>
            <w:r>
              <w:rPr>
                <w:rFonts w:ascii="Calibri" w:hAnsi="Calibri"/>
                <w:b/>
                <w:color w:val="FFFFFF"/>
                <w:sz w:val="17"/>
              </w:rPr>
              <w:t>Owner</w:t>
            </w:r>
          </w:p>
        </w:tc>
        <w:tc>
          <w:tcPr>
            <w:tcW w:type="dxa" w:w="1368"/>
            <w:vAlign w:val="center"/>
            <w:tcMar>
              <w:top w:w="70" w:type="dxa"/>
              <w:start w:w="80" w:type="dxa"/>
              <w:bottom w:w="70" w:type="dxa"/>
              <w:end w:w="80" w:type="dxa"/>
            </w:tcMar>
            <w:shd w:fill="1F2F4F"/>
          </w:tcPr>
          <w:p>
            <w:pPr>
              <w:spacing w:after="0"/>
            </w:pPr>
            <w:r/>
            <w:r>
              <w:rPr>
                <w:rFonts w:ascii="Calibri" w:hAnsi="Calibri"/>
                <w:b/>
                <w:color w:val="FFFFFF"/>
                <w:sz w:val="17"/>
              </w:rPr>
              <w:t>Trigger</w:t>
            </w:r>
          </w:p>
        </w:tc>
      </w:tr>
      <w:tr>
        <w:tc>
          <w:tcPr>
            <w:tcW w:type="dxa" w:w="2016"/>
            <w:vAlign w:val="center"/>
            <w:tcMar>
              <w:top w:w="70" w:type="dxa"/>
              <w:start w:w="80" w:type="dxa"/>
              <w:bottom w:w="70" w:type="dxa"/>
              <w:end w:w="80" w:type="dxa"/>
            </w:tcMar>
          </w:tcPr>
          <w:p>
            <w:pPr>
              <w:spacing w:after="0"/>
            </w:pPr>
            <w:r/>
            <w:r>
              <w:rPr>
                <w:rFonts w:ascii="Calibri" w:hAnsi="Calibri"/>
                <w:b w:val="0"/>
                <w:color w:val="222222"/>
                <w:sz w:val="17"/>
              </w:rPr>
              <w:t>Customer concentration</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016"/>
            <w:vAlign w:val="center"/>
            <w:tcMar>
              <w:top w:w="70" w:type="dxa"/>
              <w:start w:w="80" w:type="dxa"/>
              <w:bottom w:w="70" w:type="dxa"/>
              <w:end w:w="80" w:type="dxa"/>
            </w:tcMar>
            <w:shd w:fill="F2F2F2"/>
          </w:tcPr>
          <w:p>
            <w:pPr>
              <w:spacing w:after="0"/>
            </w:pPr>
            <w:r/>
            <w:r>
              <w:rPr>
                <w:rFonts w:ascii="Calibri" w:hAnsi="Calibri"/>
                <w:b w:val="0"/>
                <w:color w:val="222222"/>
                <w:sz w:val="17"/>
              </w:rPr>
              <w:t>Pipeline shortfall</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016"/>
            <w:vAlign w:val="center"/>
            <w:tcMar>
              <w:top w:w="70" w:type="dxa"/>
              <w:start w:w="80" w:type="dxa"/>
              <w:bottom w:w="70" w:type="dxa"/>
              <w:end w:w="80" w:type="dxa"/>
            </w:tcMar>
          </w:tcPr>
          <w:p>
            <w:pPr>
              <w:spacing w:after="0"/>
            </w:pPr>
            <w:r/>
            <w:r>
              <w:rPr>
                <w:rFonts w:ascii="Calibri" w:hAnsi="Calibri"/>
                <w:b w:val="0"/>
                <w:color w:val="222222"/>
                <w:sz w:val="17"/>
              </w:rPr>
              <w:t>Key-person dependency</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016"/>
            <w:vAlign w:val="center"/>
            <w:tcMar>
              <w:top w:w="70" w:type="dxa"/>
              <w:start w:w="80" w:type="dxa"/>
              <w:bottom w:w="70" w:type="dxa"/>
              <w:end w:w="80" w:type="dxa"/>
            </w:tcMar>
            <w:shd w:fill="F2F2F2"/>
          </w:tcPr>
          <w:p>
            <w:pPr>
              <w:spacing w:after="0"/>
            </w:pPr>
            <w:r/>
            <w:r>
              <w:rPr>
                <w:rFonts w:ascii="Calibri" w:hAnsi="Calibri"/>
                <w:b w:val="0"/>
                <w:color w:val="222222"/>
                <w:sz w:val="17"/>
              </w:rPr>
              <w:t>Pricing / margin erosion</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016"/>
            <w:vAlign w:val="center"/>
            <w:tcMar>
              <w:top w:w="70" w:type="dxa"/>
              <w:start w:w="80" w:type="dxa"/>
              <w:bottom w:w="70" w:type="dxa"/>
              <w:end w:w="80" w:type="dxa"/>
            </w:tcMar>
          </w:tcPr>
          <w:p>
            <w:pPr>
              <w:spacing w:after="0"/>
            </w:pPr>
            <w:r/>
            <w:r>
              <w:rPr>
                <w:rFonts w:ascii="Calibri" w:hAnsi="Calibri"/>
                <w:b w:val="0"/>
                <w:color w:val="222222"/>
                <w:sz w:val="17"/>
              </w:rPr>
              <w:t>Churn / renewal risk</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016"/>
            <w:vAlign w:val="center"/>
            <w:tcMar>
              <w:top w:w="70" w:type="dxa"/>
              <w:start w:w="80" w:type="dxa"/>
              <w:bottom w:w="70" w:type="dxa"/>
              <w:end w:w="80" w:type="dxa"/>
            </w:tcMar>
            <w:shd w:fill="F2F2F2"/>
          </w:tcPr>
          <w:p>
            <w:pPr>
              <w:spacing w:after="0"/>
            </w:pPr>
            <w:r/>
            <w:r>
              <w:rPr>
                <w:rFonts w:ascii="Calibri" w:hAnsi="Calibri"/>
                <w:b w:val="0"/>
                <w:color w:val="222222"/>
                <w:sz w:val="17"/>
              </w:rPr>
              <w:t>Sales capacity gap</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016"/>
            <w:vAlign w:val="center"/>
            <w:tcMar>
              <w:top w:w="70" w:type="dxa"/>
              <w:start w:w="80" w:type="dxa"/>
              <w:bottom w:w="70" w:type="dxa"/>
              <w:end w:w="80" w:type="dxa"/>
            </w:tcMar>
          </w:tcPr>
          <w:p>
            <w:pPr>
              <w:spacing w:after="0"/>
            </w:pPr>
            <w:r/>
            <w:r>
              <w:rPr>
                <w:rFonts w:ascii="Calibri" w:hAnsi="Calibri"/>
                <w:b w:val="0"/>
                <w:color w:val="222222"/>
                <w:sz w:val="17"/>
              </w:rPr>
              <w:t>Channel underperformance</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2232"/>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Executive Revenue Scorecard</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260"/>
        <w:gridCol w:w="1260"/>
        <w:gridCol w:w="1260"/>
        <w:gridCol w:w="1260"/>
        <w:gridCol w:w="1260"/>
        <w:gridCol w:w="1260"/>
        <w:gridCol w:w="1260"/>
        <w:gridCol w:w="1260"/>
      </w:tblGrid>
      <w:tr>
        <w:tc>
          <w:tcPr>
            <w:tcW w:type="dxa" w:w="2232"/>
            <w:vAlign w:val="center"/>
            <w:tcMar>
              <w:top w:w="70" w:type="dxa"/>
              <w:start w:w="80" w:type="dxa"/>
              <w:bottom w:w="70" w:type="dxa"/>
              <w:end w:w="80" w:type="dxa"/>
            </w:tcMar>
            <w:shd w:fill="1F2F4F"/>
          </w:tcPr>
          <w:p>
            <w:pPr>
              <w:spacing w:after="0"/>
            </w:pPr>
            <w:r/>
            <w:r>
              <w:rPr>
                <w:rFonts w:ascii="Calibri" w:hAnsi="Calibri"/>
                <w:b/>
                <w:color w:val="FFFFFF"/>
                <w:sz w:val="17"/>
              </w:rPr>
              <w:t>KPI</w:t>
            </w:r>
          </w:p>
        </w:tc>
        <w:tc>
          <w:tcPr>
            <w:tcW w:type="dxa" w:w="1224"/>
            <w:vAlign w:val="center"/>
            <w:tcMar>
              <w:top w:w="70" w:type="dxa"/>
              <w:start w:w="80" w:type="dxa"/>
              <w:bottom w:w="70" w:type="dxa"/>
              <w:end w:w="80" w:type="dxa"/>
            </w:tcMar>
            <w:shd w:fill="1F2F4F"/>
          </w:tcPr>
          <w:p>
            <w:pPr>
              <w:spacing w:after="0"/>
            </w:pPr>
            <w:r/>
            <w:r>
              <w:rPr>
                <w:rFonts w:ascii="Calibri" w:hAnsi="Calibri"/>
                <w:b/>
                <w:color w:val="FFFFFF"/>
                <w:sz w:val="17"/>
              </w:rPr>
              <w:t>Baseline</w:t>
            </w:r>
          </w:p>
        </w:tc>
        <w:tc>
          <w:tcPr>
            <w:tcW w:type="dxa" w:w="1368"/>
            <w:vAlign w:val="center"/>
            <w:tcMar>
              <w:top w:w="70" w:type="dxa"/>
              <w:start w:w="80" w:type="dxa"/>
              <w:bottom w:w="70" w:type="dxa"/>
              <w:end w:w="80" w:type="dxa"/>
            </w:tcMar>
            <w:shd w:fill="1F2F4F"/>
          </w:tcPr>
          <w:p>
            <w:pPr>
              <w:spacing w:after="0"/>
            </w:pPr>
            <w:r/>
            <w:r>
              <w:rPr>
                <w:rFonts w:ascii="Calibri" w:hAnsi="Calibri"/>
                <w:b/>
                <w:color w:val="FFFFFF"/>
                <w:sz w:val="17"/>
              </w:rPr>
              <w:t>Annual Target</w:t>
            </w:r>
          </w:p>
        </w:tc>
        <w:tc>
          <w:tcPr>
            <w:tcW w:type="dxa" w:w="1080"/>
            <w:vAlign w:val="center"/>
            <w:tcMar>
              <w:top w:w="70" w:type="dxa"/>
              <w:start w:w="80" w:type="dxa"/>
              <w:bottom w:w="70" w:type="dxa"/>
              <w:end w:w="80" w:type="dxa"/>
            </w:tcMar>
            <w:shd w:fill="1F2F4F"/>
          </w:tcPr>
          <w:p>
            <w:pPr>
              <w:spacing w:after="0"/>
            </w:pPr>
            <w:r/>
            <w:r>
              <w:rPr>
                <w:rFonts w:ascii="Calibri" w:hAnsi="Calibri"/>
                <w:b/>
                <w:color w:val="FFFFFF"/>
                <w:sz w:val="17"/>
              </w:rPr>
              <w:t>Q1</w:t>
            </w:r>
          </w:p>
        </w:tc>
        <w:tc>
          <w:tcPr>
            <w:tcW w:type="dxa" w:w="1080"/>
            <w:vAlign w:val="center"/>
            <w:tcMar>
              <w:top w:w="70" w:type="dxa"/>
              <w:start w:w="80" w:type="dxa"/>
              <w:bottom w:w="70" w:type="dxa"/>
              <w:end w:w="80" w:type="dxa"/>
            </w:tcMar>
            <w:shd w:fill="1F2F4F"/>
          </w:tcPr>
          <w:p>
            <w:pPr>
              <w:spacing w:after="0"/>
            </w:pPr>
            <w:r/>
            <w:r>
              <w:rPr>
                <w:rFonts w:ascii="Calibri" w:hAnsi="Calibri"/>
                <w:b/>
                <w:color w:val="FFFFFF"/>
                <w:sz w:val="17"/>
              </w:rPr>
              <w:t>Q2</w:t>
            </w:r>
          </w:p>
        </w:tc>
        <w:tc>
          <w:tcPr>
            <w:tcW w:type="dxa" w:w="1080"/>
            <w:vAlign w:val="center"/>
            <w:tcMar>
              <w:top w:w="70" w:type="dxa"/>
              <w:start w:w="80" w:type="dxa"/>
              <w:bottom w:w="70" w:type="dxa"/>
              <w:end w:w="80" w:type="dxa"/>
            </w:tcMar>
            <w:shd w:fill="1F2F4F"/>
          </w:tcPr>
          <w:p>
            <w:pPr>
              <w:spacing w:after="0"/>
            </w:pPr>
            <w:r/>
            <w:r>
              <w:rPr>
                <w:rFonts w:ascii="Calibri" w:hAnsi="Calibri"/>
                <w:b/>
                <w:color w:val="FFFFFF"/>
                <w:sz w:val="17"/>
              </w:rPr>
              <w:t>Q3</w:t>
            </w:r>
          </w:p>
        </w:tc>
        <w:tc>
          <w:tcPr>
            <w:tcW w:type="dxa" w:w="1080"/>
            <w:vAlign w:val="center"/>
            <w:tcMar>
              <w:top w:w="70" w:type="dxa"/>
              <w:start w:w="80" w:type="dxa"/>
              <w:bottom w:w="70" w:type="dxa"/>
              <w:end w:w="80" w:type="dxa"/>
            </w:tcMar>
            <w:shd w:fill="1F2F4F"/>
          </w:tcPr>
          <w:p>
            <w:pPr>
              <w:spacing w:after="0"/>
            </w:pPr>
            <w:r/>
            <w:r>
              <w:rPr>
                <w:rFonts w:ascii="Calibri" w:hAnsi="Calibri"/>
                <w:b/>
                <w:color w:val="FFFFFF"/>
                <w:sz w:val="17"/>
              </w:rPr>
              <w:t>Q4</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Revenue</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Revenue growth</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Gross margin</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Qualified pipeline</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Pipeline coverage</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x</w:t>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x</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Win rate</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Average deal value</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Sales cycle</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days</w:t>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t>days</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Customer retention</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Expansion revenue</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tcPr>
          <w:p>
            <w:pPr>
              <w:spacing w:after="0"/>
            </w:pPr>
            <w:r/>
            <w:r>
              <w:rPr>
                <w:rFonts w:ascii="Calibri" w:hAnsi="Calibri"/>
                <w:b w:val="0"/>
                <w:color w:val="222222"/>
                <w:sz w:val="17"/>
              </w:rPr>
              <w:t>Customer acquisition cost</w:t>
            </w:r>
          </w:p>
        </w:tc>
        <w:tc>
          <w:tcPr>
            <w:tcW w:type="dxa" w:w="1224"/>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368"/>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080"/>
            <w:vAlign w:val="center"/>
            <w:tcMar>
              <w:top w:w="70" w:type="dxa"/>
              <w:start w:w="80" w:type="dxa"/>
              <w:bottom w:w="70" w:type="dxa"/>
              <w:end w:w="80" w:type="dxa"/>
            </w:tcMar>
          </w:tcPr>
          <w:p>
            <w:pPr>
              <w:spacing w:after="0"/>
            </w:pPr>
            <w:r/>
            <w:r>
              <w:rPr>
                <w:rFonts w:ascii="Calibri" w:hAnsi="Calibri"/>
                <w:b w:val="0"/>
                <w:color w:val="222222"/>
                <w:sz w:val="17"/>
              </w:rPr>
              <w:t>$</w:t>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232"/>
            <w:vAlign w:val="center"/>
            <w:tcMar>
              <w:top w:w="70" w:type="dxa"/>
              <w:start w:w="80" w:type="dxa"/>
              <w:bottom w:w="70" w:type="dxa"/>
              <w:end w:w="80" w:type="dxa"/>
            </w:tcMar>
            <w:shd w:fill="F2F2F2"/>
          </w:tcPr>
          <w:p>
            <w:pPr>
              <w:spacing w:after="0"/>
            </w:pPr>
            <w:r/>
            <w:r>
              <w:rPr>
                <w:rFonts w:ascii="Calibri" w:hAnsi="Calibri"/>
                <w:b w:val="0"/>
                <w:color w:val="222222"/>
                <w:sz w:val="17"/>
              </w:rPr>
              <w:t>LTV:CAC</w:t>
            </w:r>
          </w:p>
        </w:tc>
        <w:tc>
          <w:tcPr>
            <w:tcW w:type="dxa" w:w="1224"/>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368"/>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080"/>
            <w:vAlign w:val="center"/>
            <w:tcMar>
              <w:top w:w="70" w:type="dxa"/>
              <w:start w:w="80" w:type="dxa"/>
              <w:bottom w:w="70" w:type="dxa"/>
              <w:end w:w="80" w:type="dxa"/>
            </w:tcMar>
            <w:shd w:fill="F2F2F2"/>
          </w:tcPr>
          <w:p>
            <w:pPr>
              <w:spacing w:after="0"/>
            </w:pPr>
            <w:r/>
            <w:r>
              <w:rPr>
                <w:rFonts w:ascii="Calibri" w:hAnsi="Calibri"/>
                <w:b w:val="0"/>
                <w:color w:val="222222"/>
                <w:sz w:val="17"/>
              </w:rPr>
              <w:t>x</w:t>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Operating Cadence</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520"/>
        <w:gridCol w:w="2520"/>
        <w:gridCol w:w="2520"/>
        <w:gridCol w:w="2520"/>
      </w:tblGrid>
      <w:tr>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Cadence</w:t>
            </w:r>
          </w:p>
        </w:tc>
        <w:tc>
          <w:tcPr>
            <w:tcW w:type="dxa" w:w="4608"/>
            <w:vAlign w:val="center"/>
            <w:tcMar>
              <w:top w:w="70" w:type="dxa"/>
              <w:start w:w="80" w:type="dxa"/>
              <w:bottom w:w="70" w:type="dxa"/>
              <w:end w:w="80" w:type="dxa"/>
            </w:tcMar>
            <w:shd w:fill="1F2F4F"/>
          </w:tcPr>
          <w:p>
            <w:pPr>
              <w:spacing w:after="0"/>
            </w:pPr>
            <w:r/>
            <w:r>
              <w:rPr>
                <w:rFonts w:ascii="Calibri" w:hAnsi="Calibri"/>
                <w:b/>
                <w:color w:val="FFFFFF"/>
                <w:sz w:val="17"/>
              </w:rPr>
              <w:t>Management Activity</w:t>
            </w:r>
          </w:p>
        </w:tc>
        <w:tc>
          <w:tcPr>
            <w:tcW w:type="dxa" w:w="3456"/>
            <w:vAlign w:val="center"/>
            <w:tcMar>
              <w:top w:w="70" w:type="dxa"/>
              <w:start w:w="80" w:type="dxa"/>
              <w:bottom w:w="70" w:type="dxa"/>
              <w:end w:w="80" w:type="dxa"/>
            </w:tcMar>
            <w:shd w:fill="1F2F4F"/>
          </w:tcPr>
          <w:p>
            <w:pPr>
              <w:spacing w:after="0"/>
            </w:pPr>
            <w:r/>
            <w:r>
              <w:rPr>
                <w:rFonts w:ascii="Calibri" w:hAnsi="Calibri"/>
                <w:b/>
                <w:color w:val="FFFFFF"/>
                <w:sz w:val="17"/>
              </w:rPr>
              <w:t>Primary Output</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Owner</w:t>
            </w:r>
          </w:p>
        </w:tc>
      </w:tr>
      <w:tr>
        <w:tc>
          <w:tcPr>
            <w:tcW w:type="dxa" w:w="1440"/>
            <w:vAlign w:val="center"/>
            <w:tcMar>
              <w:top w:w="70" w:type="dxa"/>
              <w:start w:w="80" w:type="dxa"/>
              <w:bottom w:w="70" w:type="dxa"/>
              <w:end w:w="80" w:type="dxa"/>
            </w:tcMar>
          </w:tcPr>
          <w:p>
            <w:pPr>
              <w:spacing w:after="0"/>
            </w:pPr>
            <w:r/>
            <w:r>
              <w:rPr>
                <w:rFonts w:ascii="Calibri" w:hAnsi="Calibri"/>
                <w:b w:val="0"/>
                <w:color w:val="222222"/>
                <w:sz w:val="17"/>
              </w:rPr>
              <w:t>Weekly</w:t>
            </w:r>
          </w:p>
        </w:tc>
        <w:tc>
          <w:tcPr>
            <w:tcW w:type="dxa" w:w="4608"/>
            <w:vAlign w:val="center"/>
            <w:tcMar>
              <w:top w:w="70" w:type="dxa"/>
              <w:start w:w="80" w:type="dxa"/>
              <w:bottom w:w="70" w:type="dxa"/>
              <w:end w:w="80" w:type="dxa"/>
            </w:tcMar>
          </w:tcPr>
          <w:p>
            <w:pPr>
              <w:spacing w:after="0"/>
            </w:pPr>
            <w:r/>
            <w:r>
              <w:rPr>
                <w:rFonts w:ascii="Calibri" w:hAnsi="Calibri"/>
                <w:b w:val="0"/>
                <w:color w:val="222222"/>
                <w:sz w:val="17"/>
              </w:rPr>
              <w:t>Pipeline, forecast, priority deals, lead flow, blockers</w:t>
            </w:r>
          </w:p>
        </w:tc>
        <w:tc>
          <w:tcPr>
            <w:tcW w:type="dxa" w:w="3456"/>
            <w:vAlign w:val="center"/>
            <w:tcMar>
              <w:top w:w="70" w:type="dxa"/>
              <w:start w:w="80" w:type="dxa"/>
              <w:bottom w:w="70" w:type="dxa"/>
              <w:end w:w="80" w:type="dxa"/>
            </w:tcMar>
          </w:tcPr>
          <w:p>
            <w:pPr>
              <w:spacing w:after="0"/>
            </w:pPr>
            <w:r/>
            <w:r>
              <w:rPr>
                <w:rFonts w:ascii="Calibri" w:hAnsi="Calibri"/>
                <w:b w:val="0"/>
                <w:color w:val="222222"/>
                <w:sz w:val="17"/>
              </w:rPr>
              <w:t>Weekly Revenue Scorecard</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Monthly</w:t>
            </w:r>
          </w:p>
        </w:tc>
        <w:tc>
          <w:tcPr>
            <w:tcW w:type="dxa" w:w="4608"/>
            <w:vAlign w:val="center"/>
            <w:tcMar>
              <w:top w:w="70" w:type="dxa"/>
              <w:start w:w="80" w:type="dxa"/>
              <w:bottom w:w="70" w:type="dxa"/>
              <w:end w:w="80" w:type="dxa"/>
            </w:tcMar>
            <w:shd w:fill="F2F2F2"/>
          </w:tcPr>
          <w:p>
            <w:pPr>
              <w:spacing w:after="0"/>
            </w:pPr>
            <w:r/>
            <w:r>
              <w:rPr>
                <w:rFonts w:ascii="Calibri" w:hAnsi="Calibri"/>
                <w:b w:val="0"/>
                <w:color w:val="222222"/>
                <w:sz w:val="17"/>
              </w:rPr>
              <w:t>Actual vs. plan, funnel performance, channel ROI, retention, initiatives</w:t>
            </w:r>
          </w:p>
        </w:tc>
        <w:tc>
          <w:tcPr>
            <w:tcW w:type="dxa" w:w="3456"/>
            <w:vAlign w:val="center"/>
            <w:tcMar>
              <w:top w:w="70" w:type="dxa"/>
              <w:start w:w="80" w:type="dxa"/>
              <w:bottom w:w="70" w:type="dxa"/>
              <w:end w:w="80" w:type="dxa"/>
            </w:tcMar>
            <w:shd w:fill="F2F2F2"/>
          </w:tcPr>
          <w:p>
            <w:pPr>
              <w:spacing w:after="0"/>
            </w:pPr>
            <w:r/>
            <w:r>
              <w:rPr>
                <w:rFonts w:ascii="Calibri" w:hAnsi="Calibri"/>
                <w:b w:val="0"/>
                <w:color w:val="222222"/>
                <w:sz w:val="17"/>
              </w:rPr>
              <w:t>Monthly Revenue Review</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1440"/>
            <w:vAlign w:val="center"/>
            <w:tcMar>
              <w:top w:w="70" w:type="dxa"/>
              <w:start w:w="80" w:type="dxa"/>
              <w:bottom w:w="70" w:type="dxa"/>
              <w:end w:w="80" w:type="dxa"/>
            </w:tcMar>
          </w:tcPr>
          <w:p>
            <w:pPr>
              <w:spacing w:after="0"/>
            </w:pPr>
            <w:r/>
            <w:r>
              <w:rPr>
                <w:rFonts w:ascii="Calibri" w:hAnsi="Calibri"/>
                <w:b w:val="0"/>
                <w:color w:val="222222"/>
                <w:sz w:val="17"/>
              </w:rPr>
              <w:t>Quarterly</w:t>
            </w:r>
          </w:p>
        </w:tc>
        <w:tc>
          <w:tcPr>
            <w:tcW w:type="dxa" w:w="4608"/>
            <w:vAlign w:val="center"/>
            <w:tcMar>
              <w:top w:w="70" w:type="dxa"/>
              <w:start w:w="80" w:type="dxa"/>
              <w:bottom w:w="70" w:type="dxa"/>
              <w:end w:w="80" w:type="dxa"/>
            </w:tcMar>
          </w:tcPr>
          <w:p>
            <w:pPr>
              <w:spacing w:after="0"/>
            </w:pPr>
            <w:r/>
            <w:r>
              <w:rPr>
                <w:rFonts w:ascii="Calibri" w:hAnsi="Calibri"/>
                <w:b w:val="0"/>
                <w:color w:val="222222"/>
                <w:sz w:val="17"/>
              </w:rPr>
              <w:t>Reforecast, strategy, capacity, pricing, customer health, investment</w:t>
            </w:r>
          </w:p>
        </w:tc>
        <w:tc>
          <w:tcPr>
            <w:tcW w:type="dxa" w:w="3456"/>
            <w:vAlign w:val="center"/>
            <w:tcMar>
              <w:top w:w="70" w:type="dxa"/>
              <w:start w:w="80" w:type="dxa"/>
              <w:bottom w:w="70" w:type="dxa"/>
              <w:end w:w="80" w:type="dxa"/>
            </w:tcMar>
          </w:tcPr>
          <w:p>
            <w:pPr>
              <w:spacing w:after="0"/>
            </w:pPr>
            <w:r/>
            <w:r>
              <w:rPr>
                <w:rFonts w:ascii="Calibri" w:hAnsi="Calibri"/>
                <w:b w:val="0"/>
                <w:color w:val="222222"/>
                <w:sz w:val="17"/>
              </w:rPr>
              <w:t>Quarterly Revenue Business Review</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t>Annual</w:t>
            </w:r>
          </w:p>
        </w:tc>
        <w:tc>
          <w:tcPr>
            <w:tcW w:type="dxa" w:w="4608"/>
            <w:vAlign w:val="center"/>
            <w:tcMar>
              <w:top w:w="70" w:type="dxa"/>
              <w:start w:w="80" w:type="dxa"/>
              <w:bottom w:w="70" w:type="dxa"/>
              <w:end w:w="80" w:type="dxa"/>
            </w:tcMar>
            <w:shd w:fill="F2F2F2"/>
          </w:tcPr>
          <w:p>
            <w:pPr>
              <w:spacing w:after="0"/>
            </w:pPr>
            <w:r/>
            <w:r>
              <w:rPr>
                <w:rFonts w:ascii="Calibri" w:hAnsi="Calibri"/>
                <w:b w:val="0"/>
                <w:color w:val="222222"/>
                <w:sz w:val="17"/>
              </w:rPr>
              <w:t>Targets, assumptions, budget, initiatives, ownership and plan approval</w:t>
            </w:r>
          </w:p>
        </w:tc>
        <w:tc>
          <w:tcPr>
            <w:tcW w:type="dxa" w:w="3456"/>
            <w:vAlign w:val="center"/>
            <w:tcMar>
              <w:top w:w="70" w:type="dxa"/>
              <w:start w:w="80" w:type="dxa"/>
              <w:bottom w:w="70" w:type="dxa"/>
              <w:end w:w="80" w:type="dxa"/>
            </w:tcMar>
            <w:shd w:fill="F2F2F2"/>
          </w:tcPr>
          <w:p>
            <w:pPr>
              <w:spacing w:after="0"/>
            </w:pPr>
            <w:r/>
            <w:r>
              <w:rPr>
                <w:rFonts w:ascii="Calibri" w:hAnsi="Calibri"/>
                <w:b w:val="0"/>
                <w:color w:val="222222"/>
                <w:sz w:val="17"/>
              </w:rPr>
              <w:t>Approved Annual Revenue Operating Plan</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Management Thresholds &amp; Escalation Triggers</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016"/>
        <w:gridCol w:w="2016"/>
        <w:gridCol w:w="2016"/>
        <w:gridCol w:w="2016"/>
        <w:gridCol w:w="2016"/>
      </w:tblGrid>
      <w:tr>
        <w:tc>
          <w:tcPr>
            <w:tcW w:type="dxa" w:w="2880"/>
            <w:vAlign w:val="center"/>
            <w:tcMar>
              <w:top w:w="70" w:type="dxa"/>
              <w:start w:w="80" w:type="dxa"/>
              <w:bottom w:w="70" w:type="dxa"/>
              <w:end w:w="80" w:type="dxa"/>
            </w:tcMar>
            <w:shd w:fill="1F2F4F"/>
          </w:tcPr>
          <w:p>
            <w:pPr>
              <w:spacing w:after="0"/>
            </w:pPr>
            <w:r/>
            <w:r>
              <w:rPr>
                <w:rFonts w:ascii="Calibri" w:hAnsi="Calibri"/>
                <w:b/>
                <w:color w:val="FFFFFF"/>
                <w:sz w:val="17"/>
              </w:rPr>
              <w:t>Indicator</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Green</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Watch</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Escalate</w:t>
            </w:r>
          </w:p>
        </w:tc>
        <w:tc>
          <w:tcPr>
            <w:tcW w:type="dxa" w:w="3600"/>
            <w:vAlign w:val="center"/>
            <w:tcMar>
              <w:top w:w="70" w:type="dxa"/>
              <w:start w:w="80" w:type="dxa"/>
              <w:bottom w:w="70" w:type="dxa"/>
              <w:end w:w="80" w:type="dxa"/>
            </w:tcMar>
            <w:shd w:fill="1F2F4F"/>
          </w:tcPr>
          <w:p>
            <w:pPr>
              <w:spacing w:after="0"/>
            </w:pPr>
            <w:r/>
            <w:r>
              <w:rPr>
                <w:rFonts w:ascii="Calibri" w:hAnsi="Calibri"/>
                <w:b/>
                <w:color w:val="FFFFFF"/>
                <w:sz w:val="17"/>
              </w:rPr>
              <w:t>Required Response</w:t>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Revenue vs. plan</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360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Pipeline coverage</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60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Forecast variance</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360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Win rate</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60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Gross margin</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360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Churn / at-risk revenue</w:t>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60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Acquisition efficiency</w:t>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3600"/>
            <w:vAlign w:val="center"/>
            <w:tcMar>
              <w:top w:w="70" w:type="dxa"/>
              <w:start w:w="80" w:type="dxa"/>
              <w:bottom w:w="70" w:type="dxa"/>
              <w:end w:w="80" w:type="dxa"/>
            </w:tcMar>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Quarterly Executive Review</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016"/>
        <w:gridCol w:w="2016"/>
        <w:gridCol w:w="2016"/>
        <w:gridCol w:w="2016"/>
        <w:gridCol w:w="2016"/>
      </w:tblGrid>
      <w:tr>
        <w:tc>
          <w:tcPr>
            <w:tcW w:type="dxa" w:w="4464"/>
            <w:vAlign w:val="center"/>
            <w:tcMar>
              <w:top w:w="70" w:type="dxa"/>
              <w:start w:w="80" w:type="dxa"/>
              <w:bottom w:w="70" w:type="dxa"/>
              <w:end w:w="80" w:type="dxa"/>
            </w:tcMar>
            <w:shd w:fill="1F2F4F"/>
          </w:tcPr>
          <w:p>
            <w:pPr>
              <w:spacing w:after="0"/>
            </w:pPr>
            <w:r/>
            <w:r>
              <w:rPr>
                <w:rFonts w:ascii="Calibri" w:hAnsi="Calibri"/>
                <w:b/>
                <w:color w:val="FFFFFF"/>
                <w:sz w:val="17"/>
              </w:rPr>
              <w:t>Review Question</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Q1</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Q2</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Q3</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Q4</w:t>
            </w:r>
          </w:p>
        </w:tc>
      </w:tr>
      <w:tr>
        <w:tc>
          <w:tcPr>
            <w:tcW w:type="dxa" w:w="4464"/>
            <w:vAlign w:val="center"/>
            <w:tcMar>
              <w:top w:w="70" w:type="dxa"/>
              <w:start w:w="80" w:type="dxa"/>
              <w:bottom w:w="70" w:type="dxa"/>
              <w:end w:w="80" w:type="dxa"/>
            </w:tcMar>
          </w:tcPr>
          <w:p>
            <w:pPr>
              <w:spacing w:after="0"/>
            </w:pPr>
            <w:r/>
            <w:r>
              <w:rPr>
                <w:rFonts w:ascii="Calibri" w:hAnsi="Calibri"/>
                <w:b w:val="0"/>
                <w:color w:val="222222"/>
                <w:sz w:val="17"/>
              </w:rPr>
              <w:t>Are we on track to annual revenue target?</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shd w:fill="F2F2F2"/>
          </w:tcPr>
          <w:p>
            <w:pPr>
              <w:spacing w:after="0"/>
            </w:pPr>
            <w:r/>
            <w:r>
              <w:rPr>
                <w:rFonts w:ascii="Calibri" w:hAnsi="Calibri"/>
                <w:b w:val="0"/>
                <w:color w:val="222222"/>
                <w:sz w:val="17"/>
              </w:rPr>
              <w:t>What changed in the forecast?</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tcPr>
          <w:p>
            <w:pPr>
              <w:spacing w:after="0"/>
            </w:pPr>
            <w:r/>
            <w:r>
              <w:rPr>
                <w:rFonts w:ascii="Calibri" w:hAnsi="Calibri"/>
                <w:b w:val="0"/>
                <w:color w:val="222222"/>
                <w:sz w:val="17"/>
              </w:rPr>
              <w:t>Which assumptions are no longer valid?</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shd w:fill="F2F2F2"/>
          </w:tcPr>
          <w:p>
            <w:pPr>
              <w:spacing w:after="0"/>
            </w:pPr>
            <w:r/>
            <w:r>
              <w:rPr>
                <w:rFonts w:ascii="Calibri" w:hAnsi="Calibri"/>
                <w:b w:val="0"/>
                <w:color w:val="222222"/>
                <w:sz w:val="17"/>
              </w:rPr>
              <w:t>Where is the largest revenue gap?</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tcPr>
          <w:p>
            <w:pPr>
              <w:spacing w:after="0"/>
            </w:pPr>
            <w:r/>
            <w:r>
              <w:rPr>
                <w:rFonts w:ascii="Calibri" w:hAnsi="Calibri"/>
                <w:b w:val="0"/>
                <w:color w:val="222222"/>
                <w:sz w:val="17"/>
              </w:rPr>
              <w:t>Which channels are outperforming / underperforming?</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shd w:fill="F2F2F2"/>
          </w:tcPr>
          <w:p>
            <w:pPr>
              <w:spacing w:after="0"/>
            </w:pPr>
            <w:r/>
            <w:r>
              <w:rPr>
                <w:rFonts w:ascii="Calibri" w:hAnsi="Calibri"/>
                <w:b w:val="0"/>
                <w:color w:val="222222"/>
                <w:sz w:val="17"/>
              </w:rPr>
              <w:t>What is happening to margin and pricing?</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tcPr>
          <w:p>
            <w:pPr>
              <w:spacing w:after="0"/>
            </w:pPr>
            <w:r/>
            <w:r>
              <w:rPr>
                <w:rFonts w:ascii="Calibri" w:hAnsi="Calibri"/>
                <w:b w:val="0"/>
                <w:color w:val="222222"/>
                <w:sz w:val="17"/>
              </w:rPr>
              <w:t>What retention / churn issues require action?</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shd w:fill="F2F2F2"/>
          </w:tcPr>
          <w:p>
            <w:pPr>
              <w:spacing w:after="0"/>
            </w:pPr>
            <w:r/>
            <w:r>
              <w:rPr>
                <w:rFonts w:ascii="Calibri" w:hAnsi="Calibri"/>
                <w:b w:val="0"/>
                <w:color w:val="222222"/>
                <w:sz w:val="17"/>
              </w:rPr>
              <w:t>What capacity constraint could limit growth?</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tcPr>
          <w:p>
            <w:pPr>
              <w:spacing w:after="0"/>
            </w:pPr>
            <w:r/>
            <w:r>
              <w:rPr>
                <w:rFonts w:ascii="Calibri" w:hAnsi="Calibri"/>
                <w:b w:val="0"/>
                <w:color w:val="222222"/>
                <w:sz w:val="17"/>
              </w:rPr>
              <w:t>What investments should increase, decrease, or stop?</w:t>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4464"/>
            <w:vAlign w:val="center"/>
            <w:tcMar>
              <w:top w:w="70" w:type="dxa"/>
              <w:start w:w="80" w:type="dxa"/>
              <w:bottom w:w="70" w:type="dxa"/>
              <w:end w:w="80" w:type="dxa"/>
            </w:tcMar>
            <w:shd w:fill="F2F2F2"/>
          </w:tcPr>
          <w:p>
            <w:pPr>
              <w:spacing w:after="0"/>
            </w:pPr>
            <w:r/>
            <w:r>
              <w:rPr>
                <w:rFonts w:ascii="Calibri" w:hAnsi="Calibri"/>
                <w:b w:val="0"/>
                <w:color w:val="222222"/>
                <w:sz w:val="17"/>
              </w:rPr>
              <w:t>What executive decisions are required?</w:t>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Revenue Decision &amp; Action Register</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1680"/>
        <w:gridCol w:w="1680"/>
        <w:gridCol w:w="1680"/>
        <w:gridCol w:w="1680"/>
        <w:gridCol w:w="1680"/>
        <w:gridCol w:w="1680"/>
      </w:tblGrid>
      <w:tr>
        <w:tc>
          <w:tcPr>
            <w:tcW w:type="dxa" w:w="2880"/>
            <w:vAlign w:val="center"/>
            <w:tcMar>
              <w:top w:w="70" w:type="dxa"/>
              <w:start w:w="80" w:type="dxa"/>
              <w:bottom w:w="70" w:type="dxa"/>
              <w:end w:w="80" w:type="dxa"/>
            </w:tcMar>
            <w:shd w:fill="1F2F4F"/>
          </w:tcPr>
          <w:p>
            <w:pPr>
              <w:spacing w:after="0"/>
            </w:pPr>
            <w:r/>
            <w:r>
              <w:rPr>
                <w:rFonts w:ascii="Calibri" w:hAnsi="Calibri"/>
                <w:b/>
                <w:color w:val="FFFFFF"/>
                <w:sz w:val="17"/>
              </w:rPr>
              <w:t>Decision / Action</w:t>
            </w:r>
          </w:p>
        </w:tc>
        <w:tc>
          <w:tcPr>
            <w:tcW w:type="dxa" w:w="3168"/>
            <w:vAlign w:val="center"/>
            <w:tcMar>
              <w:top w:w="70" w:type="dxa"/>
              <w:start w:w="80" w:type="dxa"/>
              <w:bottom w:w="70" w:type="dxa"/>
              <w:end w:w="80" w:type="dxa"/>
            </w:tcMar>
            <w:shd w:fill="1F2F4F"/>
          </w:tcPr>
          <w:p>
            <w:pPr>
              <w:spacing w:after="0"/>
            </w:pPr>
            <w:r/>
            <w:r>
              <w:rPr>
                <w:rFonts w:ascii="Calibri" w:hAnsi="Calibri"/>
                <w:b/>
                <w:color w:val="FFFFFF"/>
                <w:sz w:val="17"/>
              </w:rPr>
              <w:t>Reason / Expected Impact</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Owner</w:t>
            </w:r>
          </w:p>
        </w:tc>
        <w:tc>
          <w:tcPr>
            <w:tcW w:type="dxa" w:w="1296"/>
            <w:vAlign w:val="center"/>
            <w:tcMar>
              <w:top w:w="70" w:type="dxa"/>
              <w:start w:w="80" w:type="dxa"/>
              <w:bottom w:w="70" w:type="dxa"/>
              <w:end w:w="80" w:type="dxa"/>
            </w:tcMar>
            <w:shd w:fill="1F2F4F"/>
          </w:tcPr>
          <w:p>
            <w:pPr>
              <w:spacing w:after="0"/>
            </w:pPr>
            <w:r/>
            <w:r>
              <w:rPr>
                <w:rFonts w:ascii="Calibri" w:hAnsi="Calibri"/>
                <w:b/>
                <w:color w:val="FFFFFF"/>
                <w:sz w:val="17"/>
              </w:rPr>
              <w:t>Due Date</w:t>
            </w:r>
          </w:p>
        </w:tc>
        <w:tc>
          <w:tcPr>
            <w:tcW w:type="dxa" w:w="1152"/>
            <w:vAlign w:val="center"/>
            <w:tcMar>
              <w:top w:w="70" w:type="dxa"/>
              <w:start w:w="80" w:type="dxa"/>
              <w:bottom w:w="70" w:type="dxa"/>
              <w:end w:w="80" w:type="dxa"/>
            </w:tcMar>
            <w:shd w:fill="1F2F4F"/>
          </w:tcPr>
          <w:p>
            <w:pPr>
              <w:spacing w:after="0"/>
            </w:pPr>
            <w:r/>
            <w:r>
              <w:rPr>
                <w:rFonts w:ascii="Calibri" w:hAnsi="Calibri"/>
                <w:b/>
                <w:color w:val="FFFFFF"/>
                <w:sz w:val="17"/>
              </w:rPr>
              <w:t>Status</w:t>
            </w:r>
          </w:p>
        </w:tc>
        <w:tc>
          <w:tcPr>
            <w:tcW w:type="dxa" w:w="1440"/>
            <w:vAlign w:val="center"/>
            <w:tcMar>
              <w:top w:w="70" w:type="dxa"/>
              <w:start w:w="80" w:type="dxa"/>
              <w:bottom w:w="70" w:type="dxa"/>
              <w:end w:w="80" w:type="dxa"/>
            </w:tcMar>
            <w:shd w:fill="1F2F4F"/>
          </w:tcPr>
          <w:p>
            <w:pPr>
              <w:spacing w:after="0"/>
            </w:pPr>
            <w:r/>
            <w:r>
              <w:rPr>
                <w:rFonts w:ascii="Calibri" w:hAnsi="Calibri"/>
                <w:b/>
                <w:color w:val="FFFFFF"/>
                <w:sz w:val="17"/>
              </w:rPr>
              <w:t>Result</w:t>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168"/>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296"/>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15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440"/>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Executive Approval</w:t>
            </w:r>
          </w:p>
          <w:p>
            <w:pPr>
              <w:spacing w:after="0"/>
            </w:pPr>
            <w:r>
              <w:rPr>
                <w:rFonts w:ascii="Calibri" w:hAnsi="Calibri"/>
                <w:i/>
                <w:color w:val="777777"/>
                <w:sz w:val="19"/>
              </w:rPr>
              <w:t>Approval confirms leadership alignment on the targets, assumptions, investments, ownership, and management expectations in this plan.</w:t>
            </w:r>
          </w:p>
        </w:tc>
      </w:tr>
    </w:tbl>
    <w:p>
      <w:pPr>
        <w:spacing w:after="20"/>
      </w:pPr>
    </w:p>
    <w:tbl>
      <w:tblPr>
        <w:tblW w:type="auto" w:w="0"/>
        <w:jc w:val="center"/>
        <w:tblLayout w:type="fixed"/>
        <w:tblLook w:firstColumn="1" w:firstRow="1" w:lastColumn="0" w:lastRow="0" w:noHBand="0" w:noVBand="1" w:val="04A0"/>
        <w:tblBorders>
          <w:top w:val="single" w:sz="5" w:color="C9C9C9"/>
          <w:left w:val="single" w:sz="5" w:color="C9C9C9"/>
          <w:bottom w:val="single" w:sz="5" w:color="C9C9C9"/>
          <w:right w:val="single" w:sz="5" w:color="C9C9C9"/>
          <w:insideH w:val="single" w:sz="5" w:color="C9C9C9"/>
          <w:insideV w:val="single" w:sz="5" w:color="C9C9C9"/>
        </w:tblBorders>
      </w:tblPr>
      <w:tblGrid>
        <w:gridCol w:w="2520"/>
        <w:gridCol w:w="2520"/>
        <w:gridCol w:w="2520"/>
        <w:gridCol w:w="2520"/>
      </w:tblGrid>
      <w:tr>
        <w:tc>
          <w:tcPr>
            <w:tcW w:type="dxa" w:w="2880"/>
            <w:vAlign w:val="center"/>
            <w:tcMar>
              <w:top w:w="70" w:type="dxa"/>
              <w:start w:w="80" w:type="dxa"/>
              <w:bottom w:w="70" w:type="dxa"/>
              <w:end w:w="80" w:type="dxa"/>
            </w:tcMar>
            <w:shd w:fill="1F2F4F"/>
          </w:tcPr>
          <w:p>
            <w:pPr>
              <w:spacing w:after="0"/>
            </w:pPr>
            <w:r/>
            <w:r>
              <w:rPr>
                <w:rFonts w:ascii="Calibri" w:hAnsi="Calibri"/>
                <w:b/>
                <w:color w:val="FFFFFF"/>
                <w:sz w:val="17"/>
              </w:rPr>
              <w:t>Role</w:t>
            </w:r>
          </w:p>
        </w:tc>
        <w:tc>
          <w:tcPr>
            <w:tcW w:type="dxa" w:w="2592"/>
            <w:vAlign w:val="center"/>
            <w:tcMar>
              <w:top w:w="70" w:type="dxa"/>
              <w:start w:w="80" w:type="dxa"/>
              <w:bottom w:w="70" w:type="dxa"/>
              <w:end w:w="80" w:type="dxa"/>
            </w:tcMar>
            <w:shd w:fill="1F2F4F"/>
          </w:tcPr>
          <w:p>
            <w:pPr>
              <w:spacing w:after="0"/>
            </w:pPr>
            <w:r/>
            <w:r>
              <w:rPr>
                <w:rFonts w:ascii="Calibri" w:hAnsi="Calibri"/>
                <w:b/>
                <w:color w:val="FFFFFF"/>
                <w:sz w:val="17"/>
              </w:rPr>
              <w:t>Name</w:t>
            </w:r>
          </w:p>
        </w:tc>
        <w:tc>
          <w:tcPr>
            <w:tcW w:type="dxa" w:w="3744"/>
            <w:vAlign w:val="center"/>
            <w:tcMar>
              <w:top w:w="70" w:type="dxa"/>
              <w:start w:w="80" w:type="dxa"/>
              <w:bottom w:w="70" w:type="dxa"/>
              <w:end w:w="80" w:type="dxa"/>
            </w:tcMar>
            <w:shd w:fill="1F2F4F"/>
          </w:tcPr>
          <w:p>
            <w:pPr>
              <w:spacing w:after="0"/>
            </w:pPr>
            <w:r/>
            <w:r>
              <w:rPr>
                <w:rFonts w:ascii="Calibri" w:hAnsi="Calibri"/>
                <w:b/>
                <w:color w:val="FFFFFF"/>
                <w:sz w:val="17"/>
              </w:rPr>
              <w:t>Approval / Signature</w:t>
            </w:r>
          </w:p>
        </w:tc>
        <w:tc>
          <w:tcPr>
            <w:tcW w:type="dxa" w:w="1584"/>
            <w:vAlign w:val="center"/>
            <w:tcMar>
              <w:top w:w="70" w:type="dxa"/>
              <w:start w:w="80" w:type="dxa"/>
              <w:bottom w:w="70" w:type="dxa"/>
              <w:end w:w="80" w:type="dxa"/>
            </w:tcMar>
            <w:shd w:fill="1F2F4F"/>
          </w:tcPr>
          <w:p>
            <w:pPr>
              <w:spacing w:after="0"/>
            </w:pPr>
            <w:r/>
            <w:r>
              <w:rPr>
                <w:rFonts w:ascii="Calibri" w:hAnsi="Calibri"/>
                <w:b/>
                <w:color w:val="FFFFFF"/>
                <w:sz w:val="17"/>
              </w:rPr>
              <w:t>Date</w:t>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CEO / Owner</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374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Revenue Leader</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74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Finance Leader</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374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Sales Leader</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74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tcPr>
          <w:p>
            <w:pPr>
              <w:spacing w:after="0"/>
            </w:pPr>
            <w:r/>
            <w:r>
              <w:rPr>
                <w:rFonts w:ascii="Calibri" w:hAnsi="Calibri"/>
                <w:b w:val="0"/>
                <w:color w:val="222222"/>
                <w:sz w:val="17"/>
              </w:rPr>
              <w:t>Marketing Leader</w:t>
            </w:r>
          </w:p>
        </w:tc>
        <w:tc>
          <w:tcPr>
            <w:tcW w:type="dxa" w:w="2592"/>
            <w:vAlign w:val="center"/>
            <w:tcMar>
              <w:top w:w="70" w:type="dxa"/>
              <w:start w:w="80" w:type="dxa"/>
              <w:bottom w:w="70" w:type="dxa"/>
              <w:end w:w="80" w:type="dxa"/>
            </w:tcMar>
          </w:tcPr>
          <w:p>
            <w:pPr>
              <w:spacing w:after="0"/>
            </w:pPr>
            <w:r/>
            <w:r>
              <w:rPr>
                <w:rFonts w:ascii="Calibri" w:hAnsi="Calibri"/>
                <w:b w:val="0"/>
                <w:color w:val="222222"/>
                <w:sz w:val="17"/>
              </w:rPr>
            </w:r>
          </w:p>
        </w:tc>
        <w:tc>
          <w:tcPr>
            <w:tcW w:type="dxa" w:w="3744"/>
            <w:vAlign w:val="center"/>
            <w:tcMar>
              <w:top w:w="70" w:type="dxa"/>
              <w:start w:w="80" w:type="dxa"/>
              <w:bottom w:w="70" w:type="dxa"/>
              <w:end w:w="80" w:type="dxa"/>
            </w:tcMar>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tcPr>
          <w:p>
            <w:pPr>
              <w:spacing w:after="0"/>
            </w:pPr>
            <w:r/>
            <w:r>
              <w:rPr>
                <w:rFonts w:ascii="Calibri" w:hAnsi="Calibri"/>
                <w:b w:val="0"/>
                <w:color w:val="222222"/>
                <w:sz w:val="17"/>
              </w:rPr>
            </w:r>
          </w:p>
        </w:tc>
      </w:tr>
      <w:tr>
        <w:tc>
          <w:tcPr>
            <w:tcW w:type="dxa" w:w="2880"/>
            <w:vAlign w:val="center"/>
            <w:tcMar>
              <w:top w:w="70" w:type="dxa"/>
              <w:start w:w="80" w:type="dxa"/>
              <w:bottom w:w="70" w:type="dxa"/>
              <w:end w:w="80" w:type="dxa"/>
            </w:tcMar>
            <w:shd w:fill="F2F2F2"/>
          </w:tcPr>
          <w:p>
            <w:pPr>
              <w:spacing w:after="0"/>
            </w:pPr>
            <w:r/>
            <w:r>
              <w:rPr>
                <w:rFonts w:ascii="Calibri" w:hAnsi="Calibri"/>
                <w:b w:val="0"/>
                <w:color w:val="222222"/>
                <w:sz w:val="17"/>
              </w:rPr>
              <w:t>Customer Success / Account Leader</w:t>
            </w:r>
          </w:p>
        </w:tc>
        <w:tc>
          <w:tcPr>
            <w:tcW w:type="dxa" w:w="2592"/>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3744"/>
            <w:vAlign w:val="center"/>
            <w:tcMar>
              <w:top w:w="70" w:type="dxa"/>
              <w:start w:w="80" w:type="dxa"/>
              <w:bottom w:w="70" w:type="dxa"/>
              <w:end w:w="80" w:type="dxa"/>
            </w:tcMar>
            <w:shd w:fill="F2F2F2"/>
          </w:tcPr>
          <w:p>
            <w:pPr>
              <w:spacing w:after="0"/>
            </w:pPr>
            <w:r/>
            <w:r>
              <w:rPr>
                <w:rFonts w:ascii="Calibri" w:hAnsi="Calibri"/>
                <w:b w:val="0"/>
                <w:color w:val="222222"/>
                <w:sz w:val="17"/>
              </w:rPr>
            </w:r>
          </w:p>
        </w:tc>
        <w:tc>
          <w:tcPr>
            <w:tcW w:type="dxa" w:w="1584"/>
            <w:vAlign w:val="center"/>
            <w:tcMar>
              <w:top w:w="70" w:type="dxa"/>
              <w:start w:w="80" w:type="dxa"/>
              <w:bottom w:w="70" w:type="dxa"/>
              <w:end w:w="80" w:type="dxa"/>
            </w:tcMar>
            <w:shd w:fill="F2F2F2"/>
          </w:tcPr>
          <w:p>
            <w:pPr>
              <w:spacing w:after="0"/>
            </w:pPr>
            <w:r/>
            <w:r>
              <w:rPr>
                <w:rFonts w:ascii="Calibri" w:hAnsi="Calibri"/>
                <w:b w:val="0"/>
                <w:color w:val="222222"/>
                <w:sz w:val="17"/>
              </w:rPr>
            </w:r>
          </w:p>
        </w:tc>
      </w:tr>
    </w:tbl>
    <w:p>
      <w:pPr>
        <w:spacing w:after="20"/>
      </w:pPr>
    </w:p>
    <w:tbl>
      <w:tblPr>
        <w:tblW w:type="auto" w:w="0"/>
        <w:jc w:val="center"/>
        <w:tblLayout w:type="fixed"/>
        <w:tblLook w:firstColumn="1" w:firstRow="1" w:lastColumn="0" w:lastRow="0" w:noHBand="0" w:noVBand="1" w:val="04A0"/>
        <w:tblBorders>
          <w:top w:val="single" w:sz="5" w:color="D8D0BA"/>
          <w:left w:val="single" w:sz="5" w:color="D8D0BA"/>
          <w:bottom w:val="single" w:sz="5" w:color="D8D0BA"/>
          <w:right w:val="single" w:sz="5" w:color="D8D0BA"/>
          <w:insideH w:val="single" w:sz="5" w:color="D8D0BA"/>
          <w:insideV w:val="single" w:sz="5" w:color="D8D0BA"/>
        </w:tblBorders>
      </w:tblPr>
      <w:tblGrid>
        <w:gridCol w:w="10080"/>
      </w:tblGrid>
      <w:tr>
        <w:tc>
          <w:tcPr>
            <w:tcW w:type="dxa" w:w="10080"/>
            <w:shd w:fill="F6F0DF"/>
          </w:tcPr>
          <w:p>
            <w:pPr>
              <w:spacing w:after="20"/>
            </w:pPr>
            <w:r/>
            <w:r>
              <w:rPr>
                <w:rFonts w:ascii="Calibri" w:hAnsi="Calibri"/>
                <w:b/>
                <w:color w:val="1F2F4F"/>
                <w:sz w:val="24"/>
              </w:rPr>
              <w:t>The Next Step</w:t>
            </w:r>
          </w:p>
        </w:tc>
      </w:tr>
    </w:tbl>
    <w:p>
      <w:pPr>
        <w:spacing w:after="20"/>
      </w:pPr>
    </w:p>
    <w:p>
      <w:pPr>
        <w:spacing w:after="100"/>
      </w:pPr>
      <w:r>
        <w:t>Use the approved plan as the operating baseline for the year. Transfer the annual and quarterly targets into the REVOS executive scorecards and dashboards, review performance against plan every month, and document corrective action whenever a target, assumption, or leading indicator moves outside the agreed management threshold.</w:t>
      </w:r>
    </w:p>
    <w:sectPr w:rsidR="006C4012">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251A3" w14:textId="77777777" w:rsidR="00B940C4" w:rsidRDefault="00B940C4">
      <w:r>
        <w:separator/>
      </w:r>
    </w:p>
  </w:endnote>
  <w:endnote w:type="continuationSeparator" w:id="0">
    <w:p w14:paraId="45CEAC0B" w14:textId="77777777" w:rsidR="00B940C4" w:rsidRDefault="00B94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F2108" w14:textId="77777777" w:rsidR="006C4012" w:rsidRDefault="000C6681">
    <w:pPr>
      <w:pBdr>
        <w:top w:val="single" w:sz="4" w:space="4" w:color="CCCCCC"/>
      </w:pBdr>
      <w:jc w:val="center"/>
    </w:pPr>
    <w:r>
      <w:rPr>
        <w:rFonts w:ascii="Calibri" w:hAnsi="Calibri"/>
        <w:b/>
        <w:color w:val="1F2F4F"/>
        <w:sz w:val="16"/>
      </w:rPr>
      <w:t>RUBI Business Playbooks</w:t>
    </w:r>
    <w:r>
      <w:rPr>
        <w:color w:val="777777"/>
        <w:sz w:val="16"/>
      </w:rPr>
      <w:t xml:space="preserve">   —   </w:t>
    </w:r>
    <w:r>
      <w:rPr>
        <w:rFonts w:ascii="Calibri" w:hAnsi="Calibri"/>
        <w:i/>
        <w:color w:val="777777"/>
        <w:sz w:val="16"/>
      </w:rPr>
      <w:t>Helping People &amp; Businesses Succeed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4D59A" w14:textId="77777777" w:rsidR="00B940C4" w:rsidRDefault="00B940C4">
      <w:r>
        <w:separator/>
      </w:r>
    </w:p>
  </w:footnote>
  <w:footnote w:type="continuationSeparator" w:id="0">
    <w:p w14:paraId="2C150575" w14:textId="77777777" w:rsidR="00B940C4" w:rsidRDefault="00B940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8F664" w14:textId="77777777" w:rsidR="006C4012" w:rsidRDefault="000C6681">
    <w:pPr>
      <w:pBdr>
        <w:bottom w:val="single" w:sz="4" w:space="4" w:color="CCCCCC"/>
      </w:pBdr>
      <w:spacing w:after="60"/>
      <w:jc w:val="right"/>
    </w:pPr>
    <w:r>
      <w:rPr>
        <w:rFonts w:ascii="Calibri" w:hAnsi="Calibri"/>
        <w:b/>
        <w:color w:val="1F2F4F"/>
        <w:sz w:val="18"/>
      </w:rPr>
      <w:t>RUBI Business Playbooks</w:t>
    </w:r>
    <w:r>
      <w:rPr>
        <w:color w:val="777777"/>
        <w:sz w:val="18"/>
      </w:rPr>
      <w:t xml:space="preserve">   |   </w:t>
    </w:r>
    <w:r>
      <w:rPr>
        <w:rFonts w:ascii="Calibri" w:hAnsi="Calibri"/>
        <w:i/>
        <w:color w:val="B28A42"/>
        <w:sz w:val="18"/>
      </w:rPr>
      <w:t>Revenue Department Operating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05899"/>
    <w:multiLevelType w:val="hybridMultilevel"/>
    <w:tmpl w:val="6CBE0E7C"/>
    <w:lvl w:ilvl="0" w:tplc="01BE2136">
      <w:start w:val="1"/>
      <w:numFmt w:val="bullet"/>
      <w:lvlText w:val="●"/>
      <w:lvlJc w:val="left"/>
      <w:pPr>
        <w:ind w:left="720" w:hanging="360"/>
      </w:pPr>
    </w:lvl>
    <w:lvl w:ilvl="1" w:tplc="5712C6A8">
      <w:start w:val="1"/>
      <w:numFmt w:val="bullet"/>
      <w:lvlText w:val="○"/>
      <w:lvlJc w:val="left"/>
      <w:pPr>
        <w:ind w:left="1440" w:hanging="360"/>
      </w:pPr>
    </w:lvl>
    <w:lvl w:ilvl="2" w:tplc="9C0C1A08">
      <w:start w:val="1"/>
      <w:numFmt w:val="bullet"/>
      <w:lvlText w:val="■"/>
      <w:lvlJc w:val="left"/>
      <w:pPr>
        <w:ind w:left="2160" w:hanging="360"/>
      </w:pPr>
    </w:lvl>
    <w:lvl w:ilvl="3" w:tplc="2C6C8214">
      <w:start w:val="1"/>
      <w:numFmt w:val="bullet"/>
      <w:lvlText w:val="●"/>
      <w:lvlJc w:val="left"/>
      <w:pPr>
        <w:ind w:left="2880" w:hanging="360"/>
      </w:pPr>
    </w:lvl>
    <w:lvl w:ilvl="4" w:tplc="D17C2258">
      <w:start w:val="1"/>
      <w:numFmt w:val="bullet"/>
      <w:lvlText w:val="○"/>
      <w:lvlJc w:val="left"/>
      <w:pPr>
        <w:ind w:left="3600" w:hanging="360"/>
      </w:pPr>
    </w:lvl>
    <w:lvl w:ilvl="5" w:tplc="CF50C17E">
      <w:start w:val="1"/>
      <w:numFmt w:val="bullet"/>
      <w:lvlText w:val="■"/>
      <w:lvlJc w:val="left"/>
      <w:pPr>
        <w:ind w:left="4320" w:hanging="360"/>
      </w:pPr>
    </w:lvl>
    <w:lvl w:ilvl="6" w:tplc="B2CCC072">
      <w:start w:val="1"/>
      <w:numFmt w:val="bullet"/>
      <w:lvlText w:val="●"/>
      <w:lvlJc w:val="left"/>
      <w:pPr>
        <w:ind w:left="5040" w:hanging="360"/>
      </w:pPr>
    </w:lvl>
    <w:lvl w:ilvl="7" w:tplc="7F624354">
      <w:start w:val="1"/>
      <w:numFmt w:val="bullet"/>
      <w:lvlText w:val="●"/>
      <w:lvlJc w:val="left"/>
      <w:pPr>
        <w:ind w:left="5760" w:hanging="360"/>
      </w:pPr>
    </w:lvl>
    <w:lvl w:ilvl="8" w:tplc="74BEFCD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012"/>
    <w:rsid w:val="00023A2F"/>
    <w:rsid w:val="000C6681"/>
    <w:rsid w:val="001F7CBE"/>
    <w:rsid w:val="006C4012"/>
    <w:rsid w:val="00B940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22A3"/>
  <w15:docId w15:val="{F43B89AD-4A85-421C-9F5B-DEBEBAEED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line="252" w:lineRule="auto"/>
    </w:pPr>
    <w:rPr>
      <w:rFonts w:ascii="Calibri" w:hAnsi="Calibri"/>
      <w:color w:val="222222"/>
      <w:sz w:val="21"/>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711</Words>
  <Characters>4055</Characters>
  <Application>Microsoft Office Word</Application>
  <DocSecurity>0</DocSecurity>
  <Lines>33</Lines>
  <Paragraphs>9</Paragraphs>
  <ScaleCrop>false</ScaleCrop>
  <Company/>
  <LinksUpToDate>false</LinksUpToDate>
  <CharactersWithSpaces>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RUBI Business Playbooks</dc:creator>
  <cp:lastModifiedBy>Jim Villarrubia</cp:lastModifiedBy>
  <cp:revision>3</cp:revision>
  <dcterms:created xsi:type="dcterms:W3CDTF">2026-07-31T01:51:00Z</dcterms:created>
  <dcterms:modified xsi:type="dcterms:W3CDTF">2026-08-08T16:44:00Z</dcterms:modified>
  <dc:title>Annual Revenue Operating Plan</dc:title>
  <dc:subject>RUBI Business Playbooks | Revenue Department Operating System</dc:subject>
  <cp:keywords>REVOS, revenue operating plan, annual revenue plan</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a5723c0f-985f-496a-8713-f96a84822c1b</vt:lpwstr>
  </property>
</Properties>
</file>