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Working Capital Improvement Plan</w:t>
      </w:r>
    </w:p>
    <w:p>
      <w:r>
        <w:rPr>
          <w:color w:val="666666"/>
        </w:rPr>
        <w:t>A FinOS action plan for releasing cash from receivables, payables, inventory, billing, purchasing, and other working-capital drivers without weakening critical operations or controls.</w:t>
      </w:r>
    </w:p>
    <w:tbl>
      <w:tblPr>
        <w:tblW w:type="auto" w:w="0"/>
        <w:tblLook w:firstColumn="1" w:firstRow="1" w:lastColumn="0" w:lastRow="0" w:noHBand="0" w:noVBand="1" w:val="04A0"/>
      </w:tblPr>
      <w:tblGrid>
        <w:gridCol w:w="10368"/>
      </w:tblGrid>
      <w:tr>
        <w:tc>
          <w:tcPr>
            <w:tcW w:type="dxa" w:w="10368"/>
            <w:shd w:fill="C7A43A"/>
          </w:tcPr>
          <w:p>
            <w:r/>
          </w:p>
        </w:tc>
      </w:tr>
    </w:tbl>
    <w:p>
      <w:pPr>
        <w:pStyle w:val="Heading1"/>
      </w:pPr>
      <w:r>
        <w:t>Purpose &amp; Management Standard</w:t>
      </w:r>
    </w:p>
    <w:p>
      <w:r>
        <w:t>Use this plan when cash is tied up unnecessarily in the operating cycle or when management needs to improve liquidity without relying solely on new financing. Improvement actions should be quantified, owner-assigned, time-bound, and measured against a controlled baseline.</w:t>
      </w:r>
    </w:p>
    <w:p>
      <w:pPr>
        <w:pStyle w:val="Heading1"/>
      </w:pPr>
      <w:r>
        <w:t>1. Working Capital Baseline</w:t>
      </w:r>
    </w:p>
    <w:tbl>
      <w:tblPr>
        <w:tblStyle w:val="TableGrid"/>
        <w:tblW w:type="auto" w:w="0"/>
        <w:jc w:val="center"/>
        <w:tblLook w:firstColumn="1" w:firstRow="1" w:lastColumn="0" w:lastRow="0" w:noHBand="0" w:noVBand="1" w:val="04A0"/>
      </w:tblPr>
      <w:tblGrid>
        <w:gridCol w:w="2074"/>
        <w:gridCol w:w="2074"/>
        <w:gridCol w:w="2074"/>
        <w:gridCol w:w="2074"/>
        <w:gridCol w:w="2074"/>
      </w:tblGrid>
      <w:tr>
        <w:tc>
          <w:tcPr>
            <w:tcW w:type="dxa" w:w="2074"/>
            <w:shd w:fill="0B2B50"/>
          </w:tcPr>
          <w:p>
            <w:r>
              <w:rPr>
                <w:b/>
                <w:color w:val="FFFFFF"/>
                <w:sz w:val="13"/>
              </w:rPr>
              <w:t>Measure</w:t>
            </w:r>
          </w:p>
        </w:tc>
        <w:tc>
          <w:tcPr>
            <w:tcW w:type="dxa" w:w="2074"/>
            <w:shd w:fill="0B2B50"/>
          </w:tcPr>
          <w:p>
            <w:r>
              <w:rPr>
                <w:b/>
                <w:color w:val="FFFFFF"/>
                <w:sz w:val="13"/>
              </w:rPr>
              <w:t>Current</w:t>
            </w:r>
          </w:p>
        </w:tc>
        <w:tc>
          <w:tcPr>
            <w:tcW w:type="dxa" w:w="2074"/>
            <w:shd w:fill="0B2B50"/>
          </w:tcPr>
          <w:p>
            <w:r>
              <w:rPr>
                <w:b/>
                <w:color w:val="FFFFFF"/>
                <w:sz w:val="13"/>
              </w:rPr>
              <w:t>Target</w:t>
            </w:r>
          </w:p>
        </w:tc>
        <w:tc>
          <w:tcPr>
            <w:tcW w:type="dxa" w:w="2074"/>
            <w:shd w:fill="0B2B50"/>
          </w:tcPr>
          <w:p>
            <w:r>
              <w:rPr>
                <w:b/>
                <w:color w:val="FFFFFF"/>
                <w:sz w:val="13"/>
              </w:rPr>
              <w:t>Gap / Opportunity</w:t>
            </w:r>
          </w:p>
        </w:tc>
        <w:tc>
          <w:tcPr>
            <w:tcW w:type="dxa" w:w="2074"/>
            <w:shd w:fill="0B2B50"/>
          </w:tcPr>
          <w:p>
            <w:r>
              <w:rPr>
                <w:b/>
                <w:color w:val="FFFFFF"/>
                <w:sz w:val="13"/>
              </w:rPr>
              <w:t>Owner</w:t>
            </w:r>
          </w:p>
        </w:tc>
      </w:tr>
      <w:tr>
        <w:tc>
          <w:tcPr>
            <w:tcW w:type="dxa" w:w="2074"/>
          </w:tcPr>
          <w:p>
            <w:pPr>
              <w:spacing w:after="0"/>
            </w:pPr>
            <w:r>
              <w:rPr>
                <w:sz w:val="13"/>
              </w:rPr>
              <w:t>Accounts Receivable</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r>
      <w:tr>
        <w:tc>
          <w:tcPr>
            <w:tcW w:type="dxa" w:w="2074"/>
            <w:shd w:fill="F5F7FA"/>
          </w:tcPr>
          <w:p>
            <w:pPr>
              <w:spacing w:after="0"/>
            </w:pPr>
            <w:r>
              <w:rPr>
                <w:sz w:val="13"/>
              </w:rPr>
              <w:t>DSO</w:t>
            </w:r>
          </w:p>
        </w:tc>
        <w:tc>
          <w:tcPr>
            <w:tcW w:type="dxa" w:w="2074"/>
            <w:shd w:fill="F5F7FA"/>
          </w:tcPr>
          <w:p>
            <w:pPr>
              <w:spacing w:after="0"/>
            </w:pPr>
            <w:r>
              <w:rPr>
                <w:sz w:val="13"/>
              </w:rPr>
              <w:t>[ ] days</w:t>
            </w:r>
          </w:p>
        </w:tc>
        <w:tc>
          <w:tcPr>
            <w:tcW w:type="dxa" w:w="2074"/>
            <w:shd w:fill="F5F7FA"/>
          </w:tcPr>
          <w:p>
            <w:pPr>
              <w:spacing w:after="0"/>
            </w:pPr>
            <w:r>
              <w:rPr>
                <w:sz w:val="13"/>
              </w:rPr>
              <w:t>[ ] days</w:t>
            </w:r>
          </w:p>
        </w:tc>
        <w:tc>
          <w:tcPr>
            <w:tcW w:type="dxa" w:w="2074"/>
            <w:shd w:fill="F5F7FA"/>
          </w:tcPr>
          <w:p>
            <w:pPr>
              <w:spacing w:after="0"/>
            </w:pPr>
            <w:r>
              <w:rPr>
                <w:sz w:val="13"/>
              </w:rPr>
              <w:t>[ ] days</w:t>
            </w:r>
          </w:p>
        </w:tc>
        <w:tc>
          <w:tcPr>
            <w:tcW w:type="dxa" w:w="2074"/>
            <w:shd w:fill="F5F7FA"/>
          </w:tcPr>
          <w:p>
            <w:pPr>
              <w:spacing w:after="0"/>
            </w:pPr>
            <w:r>
              <w:rPr>
                <w:sz w:val="13"/>
              </w:rPr>
              <w:t>[ ]</w:t>
            </w:r>
          </w:p>
        </w:tc>
      </w:tr>
      <w:tr>
        <w:tc>
          <w:tcPr>
            <w:tcW w:type="dxa" w:w="2074"/>
          </w:tcPr>
          <w:p>
            <w:pPr>
              <w:spacing w:after="0"/>
            </w:pPr>
            <w:r>
              <w:rPr>
                <w:sz w:val="13"/>
              </w:rPr>
              <w:t>AR &gt; 60 / 90 Days</w:t>
            </w:r>
          </w:p>
        </w:tc>
        <w:tc>
          <w:tcPr>
            <w:tcW w:type="dxa" w:w="2074"/>
          </w:tcPr>
          <w:p>
            <w:pPr>
              <w:spacing w:after="0"/>
            </w:pPr>
            <w:r>
              <w:rPr>
                <w:sz w:val="13"/>
              </w:rPr>
              <w:t>$[ ] / $[ ]</w:t>
            </w:r>
          </w:p>
        </w:tc>
        <w:tc>
          <w:tcPr>
            <w:tcW w:type="dxa" w:w="2074"/>
          </w:tcPr>
          <w:p>
            <w:pPr>
              <w:spacing w:after="0"/>
            </w:pPr>
            <w:r>
              <w:rPr>
                <w:sz w:val="13"/>
              </w:rPr>
              <w:t>$[ ] / $[ ]</w:t>
            </w:r>
          </w:p>
        </w:tc>
        <w:tc>
          <w:tcPr>
            <w:tcW w:type="dxa" w:w="2074"/>
          </w:tcPr>
          <w:p>
            <w:pPr>
              <w:spacing w:after="0"/>
            </w:pPr>
            <w:r>
              <w:rPr>
                <w:sz w:val="13"/>
              </w:rPr>
              <w:t>$[ ]</w:t>
            </w:r>
          </w:p>
        </w:tc>
        <w:tc>
          <w:tcPr>
            <w:tcW w:type="dxa" w:w="2074"/>
          </w:tcPr>
          <w:p>
            <w:pPr>
              <w:spacing w:after="0"/>
            </w:pPr>
            <w:r>
              <w:rPr>
                <w:sz w:val="13"/>
              </w:rPr>
              <w:t>[ ]</w:t>
            </w:r>
          </w:p>
        </w:tc>
      </w:tr>
      <w:tr>
        <w:tc>
          <w:tcPr>
            <w:tcW w:type="dxa" w:w="2074"/>
            <w:shd w:fill="F5F7FA"/>
          </w:tcPr>
          <w:p>
            <w:pPr>
              <w:spacing w:after="0"/>
            </w:pPr>
            <w:r>
              <w:rPr>
                <w:sz w:val="13"/>
              </w:rPr>
              <w:t>Inventory</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r>
      <w:tr>
        <w:tc>
          <w:tcPr>
            <w:tcW w:type="dxa" w:w="2074"/>
          </w:tcPr>
          <w:p>
            <w:pPr>
              <w:spacing w:after="0"/>
            </w:pPr>
            <w:r>
              <w:rPr>
                <w:sz w:val="13"/>
              </w:rPr>
              <w:t>Inventory Days</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r>
      <w:tr>
        <w:tc>
          <w:tcPr>
            <w:tcW w:type="dxa" w:w="2074"/>
            <w:shd w:fill="F5F7FA"/>
          </w:tcPr>
          <w:p>
            <w:pPr>
              <w:spacing w:after="0"/>
            </w:pPr>
            <w:r>
              <w:rPr>
                <w:sz w:val="13"/>
              </w:rPr>
              <w:t>Accounts Payable</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r>
      <w:tr>
        <w:tc>
          <w:tcPr>
            <w:tcW w:type="dxa" w:w="2074"/>
          </w:tcPr>
          <w:p>
            <w:pPr>
              <w:spacing w:after="0"/>
            </w:pPr>
            <w:r>
              <w:rPr>
                <w:sz w:val="13"/>
              </w:rPr>
              <w:t>DPO</w:t>
            </w:r>
          </w:p>
        </w:tc>
        <w:tc>
          <w:tcPr>
            <w:tcW w:type="dxa" w:w="2074"/>
          </w:tcPr>
          <w:p>
            <w:pPr>
              <w:spacing w:after="0"/>
            </w:pPr>
            <w:r>
              <w:rPr>
                <w:sz w:val="13"/>
              </w:rPr>
              <w:t>[ ] days</w:t>
            </w:r>
          </w:p>
        </w:tc>
        <w:tc>
          <w:tcPr>
            <w:tcW w:type="dxa" w:w="2074"/>
          </w:tcPr>
          <w:p>
            <w:pPr>
              <w:spacing w:after="0"/>
            </w:pPr>
            <w:r>
              <w:rPr>
                <w:sz w:val="13"/>
              </w:rPr>
              <w:t>[ ] days</w:t>
            </w:r>
          </w:p>
        </w:tc>
        <w:tc>
          <w:tcPr>
            <w:tcW w:type="dxa" w:w="2074"/>
          </w:tcPr>
          <w:p>
            <w:pPr>
              <w:spacing w:after="0"/>
            </w:pPr>
            <w:r>
              <w:rPr>
                <w:sz w:val="13"/>
              </w:rPr>
              <w:t>[ ] days</w:t>
            </w:r>
          </w:p>
        </w:tc>
        <w:tc>
          <w:tcPr>
            <w:tcW w:type="dxa" w:w="2074"/>
          </w:tcPr>
          <w:p>
            <w:pPr>
              <w:spacing w:after="0"/>
            </w:pPr>
            <w:r>
              <w:rPr>
                <w:sz w:val="13"/>
              </w:rPr>
              <w:t>[ ]</w:t>
            </w:r>
          </w:p>
        </w:tc>
      </w:tr>
      <w:tr>
        <w:tc>
          <w:tcPr>
            <w:tcW w:type="dxa" w:w="2074"/>
            <w:shd w:fill="F5F7FA"/>
          </w:tcPr>
          <w:p>
            <w:pPr>
              <w:spacing w:after="0"/>
            </w:pPr>
            <w:r>
              <w:rPr>
                <w:sz w:val="13"/>
              </w:rPr>
              <w:t>Cash Conversion Cycle</w:t>
            </w:r>
          </w:p>
        </w:tc>
        <w:tc>
          <w:tcPr>
            <w:tcW w:type="dxa" w:w="2074"/>
            <w:shd w:fill="F5F7FA"/>
          </w:tcPr>
          <w:p>
            <w:pPr>
              <w:spacing w:after="0"/>
            </w:pPr>
            <w:r>
              <w:rPr>
                <w:sz w:val="13"/>
              </w:rPr>
              <w:t>[ ] days</w:t>
            </w:r>
          </w:p>
        </w:tc>
        <w:tc>
          <w:tcPr>
            <w:tcW w:type="dxa" w:w="2074"/>
            <w:shd w:fill="F5F7FA"/>
          </w:tcPr>
          <w:p>
            <w:pPr>
              <w:spacing w:after="0"/>
            </w:pPr>
            <w:r>
              <w:rPr>
                <w:sz w:val="13"/>
              </w:rPr>
              <w:t>[ ] days</w:t>
            </w:r>
          </w:p>
        </w:tc>
        <w:tc>
          <w:tcPr>
            <w:tcW w:type="dxa" w:w="2074"/>
            <w:shd w:fill="F5F7FA"/>
          </w:tcPr>
          <w:p>
            <w:pPr>
              <w:spacing w:after="0"/>
            </w:pPr>
            <w:r>
              <w:rPr>
                <w:sz w:val="13"/>
              </w:rPr>
              <w:t>[ ] days</w:t>
            </w:r>
          </w:p>
        </w:tc>
        <w:tc>
          <w:tcPr>
            <w:tcW w:type="dxa" w:w="2074"/>
            <w:shd w:fill="F5F7FA"/>
          </w:tcPr>
          <w:p>
            <w:pPr>
              <w:spacing w:after="0"/>
            </w:pPr>
            <w:r>
              <w:rPr>
                <w:sz w:val="13"/>
              </w:rPr>
              <w:t>[ ]</w:t>
            </w:r>
          </w:p>
        </w:tc>
      </w:tr>
    </w:tbl>
    <w:p/>
    <w:p>
      <w:pPr>
        <w:pStyle w:val="Heading1"/>
      </w:pPr>
      <w:r>
        <w:t>2. Cash Release Opportunity</w:t>
      </w:r>
    </w:p>
    <w:tbl>
      <w:tblPr>
        <w:tblStyle w:val="TableGrid"/>
        <w:tblW w:type="auto" w:w="0"/>
        <w:jc w:val="center"/>
        <w:tblLook w:firstColumn="1" w:firstRow="1" w:lastColumn="0" w:lastRow="0" w:noHBand="0" w:noVBand="1" w:val="04A0"/>
      </w:tblPr>
      <w:tblGrid>
        <w:gridCol w:w="2074"/>
        <w:gridCol w:w="2074"/>
        <w:gridCol w:w="2074"/>
        <w:gridCol w:w="2074"/>
        <w:gridCol w:w="2074"/>
      </w:tblGrid>
      <w:tr>
        <w:tc>
          <w:tcPr>
            <w:tcW w:type="dxa" w:w="2074"/>
            <w:shd w:fill="0B2B50"/>
          </w:tcPr>
          <w:p>
            <w:r>
              <w:rPr>
                <w:b/>
                <w:color w:val="FFFFFF"/>
                <w:sz w:val="13"/>
              </w:rPr>
              <w:t>Working Capital Lever</w:t>
            </w:r>
          </w:p>
        </w:tc>
        <w:tc>
          <w:tcPr>
            <w:tcW w:type="dxa" w:w="2074"/>
            <w:shd w:fill="0B2B50"/>
          </w:tcPr>
          <w:p>
            <w:r>
              <w:rPr>
                <w:b/>
                <w:color w:val="FFFFFF"/>
                <w:sz w:val="13"/>
              </w:rPr>
              <w:t>Observed Issue</w:t>
            </w:r>
          </w:p>
        </w:tc>
        <w:tc>
          <w:tcPr>
            <w:tcW w:type="dxa" w:w="2074"/>
            <w:shd w:fill="0B2B50"/>
          </w:tcPr>
          <w:p>
            <w:r>
              <w:rPr>
                <w:b/>
                <w:color w:val="FFFFFF"/>
                <w:sz w:val="13"/>
              </w:rPr>
              <w:t>Estimated Cash Release</w:t>
            </w:r>
          </w:p>
        </w:tc>
        <w:tc>
          <w:tcPr>
            <w:tcW w:type="dxa" w:w="2074"/>
            <w:shd w:fill="0B2B50"/>
          </w:tcPr>
          <w:p>
            <w:r>
              <w:rPr>
                <w:b/>
                <w:color w:val="FFFFFF"/>
                <w:sz w:val="13"/>
              </w:rPr>
              <w:t>Time to Realize</w:t>
            </w:r>
          </w:p>
        </w:tc>
        <w:tc>
          <w:tcPr>
            <w:tcW w:type="dxa" w:w="2074"/>
            <w:shd w:fill="0B2B50"/>
          </w:tcPr>
          <w:p>
            <w:r>
              <w:rPr>
                <w:b/>
                <w:color w:val="FFFFFF"/>
                <w:sz w:val="13"/>
              </w:rPr>
              <w:t>Risk / Constraint</w:t>
            </w:r>
          </w:p>
        </w:tc>
      </w:tr>
      <w:tr>
        <w:tc>
          <w:tcPr>
            <w:tcW w:type="dxa" w:w="2074"/>
          </w:tcPr>
          <w:p>
            <w:pPr>
              <w:spacing w:after="0"/>
            </w:pPr>
            <w:r>
              <w:rPr>
                <w:sz w:val="13"/>
              </w:rPr>
              <w:t>Billing speed / accuracy</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r>
      <w:tr>
        <w:tc>
          <w:tcPr>
            <w:tcW w:type="dxa" w:w="2074"/>
            <w:shd w:fill="F5F7FA"/>
          </w:tcPr>
          <w:p>
            <w:pPr>
              <w:spacing w:after="0"/>
            </w:pPr>
            <w:r>
              <w:rPr>
                <w:sz w:val="13"/>
              </w:rPr>
              <w:t>Collections / overdue AR</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r>
      <w:tr>
        <w:tc>
          <w:tcPr>
            <w:tcW w:type="dxa" w:w="2074"/>
          </w:tcPr>
          <w:p>
            <w:pPr>
              <w:spacing w:after="0"/>
            </w:pPr>
            <w:r>
              <w:rPr>
                <w:sz w:val="13"/>
              </w:rPr>
              <w:t>Customer terms / deposits</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r>
      <w:tr>
        <w:tc>
          <w:tcPr>
            <w:tcW w:type="dxa" w:w="2074"/>
            <w:shd w:fill="F5F7FA"/>
          </w:tcPr>
          <w:p>
            <w:pPr>
              <w:spacing w:after="0"/>
            </w:pPr>
            <w:r>
              <w:rPr>
                <w:sz w:val="13"/>
              </w:rPr>
              <w:t>Inventory reduction</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r>
      <w:tr>
        <w:tc>
          <w:tcPr>
            <w:tcW w:type="dxa" w:w="2074"/>
          </w:tcPr>
          <w:p>
            <w:pPr>
              <w:spacing w:after="0"/>
            </w:pPr>
            <w:r>
              <w:rPr>
                <w:sz w:val="13"/>
              </w:rPr>
              <w:t>Purchasing / order quantities</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r>
      <w:tr>
        <w:tc>
          <w:tcPr>
            <w:tcW w:type="dxa" w:w="2074"/>
            <w:shd w:fill="F5F7FA"/>
          </w:tcPr>
          <w:p>
            <w:pPr>
              <w:spacing w:after="0"/>
            </w:pPr>
            <w:r>
              <w:rPr>
                <w:sz w:val="13"/>
              </w:rPr>
              <w:t>Supplier terms</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r>
      <w:tr>
        <w:tc>
          <w:tcPr>
            <w:tcW w:type="dxa" w:w="2074"/>
          </w:tcPr>
          <w:p>
            <w:pPr>
              <w:spacing w:after="0"/>
            </w:pPr>
            <w:r>
              <w:rPr>
                <w:sz w:val="13"/>
              </w:rPr>
              <w:t>Payment timing</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r>
      <w:tr>
        <w:tc>
          <w:tcPr>
            <w:tcW w:type="dxa" w:w="2074"/>
            <w:shd w:fill="F5F7FA"/>
          </w:tcPr>
          <w:p>
            <w:pPr>
              <w:spacing w:after="0"/>
            </w:pPr>
            <w:r>
              <w:rPr>
                <w:sz w:val="13"/>
              </w:rPr>
              <w:t>Other current assets / liabilities</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r>
    </w:tbl>
    <w:p/>
    <w:p>
      <w:pPr>
        <w:pStyle w:val="Heading1"/>
      </w:pPr>
      <w:r>
        <w:t>3. Improvement Initiative Register</w:t>
      </w:r>
    </w:p>
    <w:tbl>
      <w:tblPr>
        <w:tblStyle w:val="TableGrid"/>
        <w:tblW w:type="auto" w:w="0"/>
        <w:jc w:val="center"/>
        <w:tblLook w:firstColumn="1" w:firstRow="1" w:lastColumn="0" w:lastRow="0" w:noHBand="0" w:noVBand="1" w:val="04A0"/>
      </w:tblPr>
      <w:tblGrid>
        <w:gridCol w:w="1481"/>
        <w:gridCol w:w="1481"/>
        <w:gridCol w:w="1481"/>
        <w:gridCol w:w="1481"/>
        <w:gridCol w:w="1481"/>
        <w:gridCol w:w="1481"/>
        <w:gridCol w:w="1481"/>
      </w:tblGrid>
      <w:tr>
        <w:tc>
          <w:tcPr>
            <w:tcW w:type="dxa" w:w="1481"/>
            <w:shd w:fill="0B2B50"/>
          </w:tcPr>
          <w:p>
            <w:r>
              <w:rPr>
                <w:b/>
                <w:color w:val="FFFFFF"/>
                <w:sz w:val="12"/>
              </w:rPr>
              <w:t>Initiative</w:t>
            </w:r>
          </w:p>
        </w:tc>
        <w:tc>
          <w:tcPr>
            <w:tcW w:type="dxa" w:w="1481"/>
            <w:shd w:fill="0B2B50"/>
          </w:tcPr>
          <w:p>
            <w:r>
              <w:rPr>
                <w:b/>
                <w:color w:val="FFFFFF"/>
                <w:sz w:val="12"/>
              </w:rPr>
              <w:t>Lever</w:t>
            </w:r>
          </w:p>
        </w:tc>
        <w:tc>
          <w:tcPr>
            <w:tcW w:type="dxa" w:w="1481"/>
            <w:shd w:fill="0B2B50"/>
          </w:tcPr>
          <w:p>
            <w:r>
              <w:rPr>
                <w:b/>
                <w:color w:val="FFFFFF"/>
                <w:sz w:val="12"/>
              </w:rPr>
              <w:t>Expected Cash Benefit</w:t>
            </w:r>
          </w:p>
        </w:tc>
        <w:tc>
          <w:tcPr>
            <w:tcW w:type="dxa" w:w="1481"/>
            <w:shd w:fill="0B2B50"/>
          </w:tcPr>
          <w:p>
            <w:r>
              <w:rPr>
                <w:b/>
                <w:color w:val="FFFFFF"/>
                <w:sz w:val="12"/>
              </w:rPr>
              <w:t>Owner</w:t>
            </w:r>
          </w:p>
        </w:tc>
        <w:tc>
          <w:tcPr>
            <w:tcW w:type="dxa" w:w="1481"/>
            <w:shd w:fill="0B2B50"/>
          </w:tcPr>
          <w:p>
            <w:r>
              <w:rPr>
                <w:b/>
                <w:color w:val="FFFFFF"/>
                <w:sz w:val="12"/>
              </w:rPr>
              <w:t>30-Day Action</w:t>
            </w:r>
          </w:p>
        </w:tc>
        <w:tc>
          <w:tcPr>
            <w:tcW w:type="dxa" w:w="1481"/>
            <w:shd w:fill="0B2B50"/>
          </w:tcPr>
          <w:p>
            <w:r>
              <w:rPr>
                <w:b/>
                <w:color w:val="FFFFFF"/>
                <w:sz w:val="12"/>
              </w:rPr>
              <w:t>Due Date</w:t>
            </w:r>
          </w:p>
        </w:tc>
        <w:tc>
          <w:tcPr>
            <w:tcW w:type="dxa" w:w="1481"/>
            <w:shd w:fill="0B2B50"/>
          </w:tcPr>
          <w:p>
            <w:r>
              <w:rPr>
                <w:b/>
                <w:color w:val="FFFFFF"/>
                <w:sz w:val="12"/>
              </w:rPr>
              <w:t>Status</w:t>
            </w:r>
          </w:p>
        </w:tc>
      </w:tr>
      <w:tr>
        <w:tc>
          <w:tcPr>
            <w:tcW w:type="dxa" w:w="1481"/>
          </w:tcPr>
          <w:p>
            <w:pPr>
              <w:spacing w:after="0"/>
            </w:pPr>
            <w:r>
              <w:rPr>
                <w:sz w:val="12"/>
              </w:rPr>
              <w:t>[ ]</w:t>
            </w:r>
          </w:p>
        </w:tc>
        <w:tc>
          <w:tcPr>
            <w:tcW w:type="dxa" w:w="1481"/>
          </w:tcPr>
          <w:p>
            <w:pPr>
              <w:spacing w:after="0"/>
            </w:pPr>
            <w:r>
              <w:rPr>
                <w:sz w:val="12"/>
              </w:rPr>
              <w:t>AR / AP / Inventory / Other</w:t>
            </w:r>
          </w:p>
        </w:tc>
        <w:tc>
          <w:tcPr>
            <w:tcW w:type="dxa" w:w="1481"/>
          </w:tcPr>
          <w:p>
            <w:pPr>
              <w:spacing w:after="0"/>
            </w:pPr>
            <w:r>
              <w:rPr>
                <w:sz w:val="12"/>
              </w:rPr>
              <w:t>$[ ]</w:t>
            </w:r>
          </w:p>
        </w:tc>
        <w:tc>
          <w:tcPr>
            <w:tcW w:type="dxa" w:w="1481"/>
          </w:tcPr>
          <w:p>
            <w:pPr>
              <w:spacing w:after="0"/>
            </w:pPr>
            <w:r>
              <w:rPr>
                <w:sz w:val="12"/>
              </w:rPr>
              <w:t>[ ]</w:t>
            </w:r>
          </w:p>
        </w:tc>
        <w:tc>
          <w:tcPr>
            <w:tcW w:type="dxa" w:w="1481"/>
          </w:tcPr>
          <w:p>
            <w:pPr>
              <w:spacing w:after="0"/>
            </w:pPr>
            <w:r>
              <w:rPr>
                <w:sz w:val="12"/>
              </w:rPr>
              <w:t>[ ]</w:t>
            </w:r>
          </w:p>
        </w:tc>
        <w:tc>
          <w:tcPr>
            <w:tcW w:type="dxa" w:w="1481"/>
          </w:tcPr>
          <w:p>
            <w:pPr>
              <w:spacing w:after="0"/>
            </w:pPr>
            <w:r>
              <w:rPr>
                <w:sz w:val="12"/>
              </w:rPr>
              <w:t>[ ]</w:t>
            </w:r>
          </w:p>
        </w:tc>
        <w:tc>
          <w:tcPr>
            <w:tcW w:type="dxa" w:w="1481"/>
          </w:tcPr>
          <w:p>
            <w:pPr>
              <w:spacing w:after="0"/>
            </w:pPr>
            <w:r>
              <w:rPr>
                <w:sz w:val="12"/>
              </w:rPr>
              <w:t>Open</w:t>
            </w:r>
          </w:p>
        </w:tc>
      </w:tr>
      <w:tr>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Open</w:t>
            </w:r>
          </w:p>
        </w:tc>
      </w:tr>
      <w:tr>
        <w:tc>
          <w:tcPr>
            <w:tcW w:type="dxa" w:w="1481"/>
          </w:tcPr>
          <w:p>
            <w:pPr>
              <w:spacing w:after="0"/>
            </w:pPr>
            <w:r>
              <w:rPr>
                <w:sz w:val="12"/>
              </w:rPr>
              <w:t>[ ]</w:t>
            </w:r>
          </w:p>
        </w:tc>
        <w:tc>
          <w:tcPr>
            <w:tcW w:type="dxa" w:w="1481"/>
          </w:tcPr>
          <w:p>
            <w:pPr>
              <w:spacing w:after="0"/>
            </w:pPr>
            <w:r>
              <w:rPr>
                <w:sz w:val="12"/>
              </w:rPr>
              <w:t>[ ]</w:t>
            </w:r>
          </w:p>
        </w:tc>
        <w:tc>
          <w:tcPr>
            <w:tcW w:type="dxa" w:w="1481"/>
          </w:tcPr>
          <w:p>
            <w:pPr>
              <w:spacing w:after="0"/>
            </w:pPr>
            <w:r>
              <w:rPr>
                <w:sz w:val="12"/>
              </w:rPr>
              <w:t>$[ ]</w:t>
            </w:r>
          </w:p>
        </w:tc>
        <w:tc>
          <w:tcPr>
            <w:tcW w:type="dxa" w:w="1481"/>
          </w:tcPr>
          <w:p>
            <w:pPr>
              <w:spacing w:after="0"/>
            </w:pPr>
            <w:r>
              <w:rPr>
                <w:sz w:val="12"/>
              </w:rPr>
              <w:t>[ ]</w:t>
            </w:r>
          </w:p>
        </w:tc>
        <w:tc>
          <w:tcPr>
            <w:tcW w:type="dxa" w:w="1481"/>
          </w:tcPr>
          <w:p>
            <w:pPr>
              <w:spacing w:after="0"/>
            </w:pPr>
            <w:r>
              <w:rPr>
                <w:sz w:val="12"/>
              </w:rPr>
              <w:t>[ ]</w:t>
            </w:r>
          </w:p>
        </w:tc>
        <w:tc>
          <w:tcPr>
            <w:tcW w:type="dxa" w:w="1481"/>
          </w:tcPr>
          <w:p>
            <w:pPr>
              <w:spacing w:after="0"/>
            </w:pPr>
            <w:r>
              <w:rPr>
                <w:sz w:val="12"/>
              </w:rPr>
              <w:t>[ ]</w:t>
            </w:r>
          </w:p>
        </w:tc>
        <w:tc>
          <w:tcPr>
            <w:tcW w:type="dxa" w:w="1481"/>
          </w:tcPr>
          <w:p>
            <w:pPr>
              <w:spacing w:after="0"/>
            </w:pPr>
            <w:r>
              <w:rPr>
                <w:sz w:val="12"/>
              </w:rPr>
              <w:t>Open</w:t>
            </w:r>
          </w:p>
        </w:tc>
      </w:tr>
      <w:tr>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 ]</w:t>
            </w:r>
          </w:p>
        </w:tc>
        <w:tc>
          <w:tcPr>
            <w:tcW w:type="dxa" w:w="1481"/>
            <w:shd w:fill="F5F7FA"/>
          </w:tcPr>
          <w:p>
            <w:pPr>
              <w:spacing w:after="0"/>
            </w:pPr>
            <w:r>
              <w:rPr>
                <w:sz w:val="12"/>
              </w:rPr>
              <w:t>Open</w:t>
            </w:r>
          </w:p>
        </w:tc>
      </w:tr>
    </w:tbl>
    <w:p/>
    <w:p>
      <w:pPr>
        <w:pStyle w:val="Heading1"/>
      </w:pPr>
      <w:r>
        <w:t>4. 30-60-90 Day Execution</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0B2B50"/>
          </w:tcPr>
          <w:p>
            <w:r>
              <w:rPr>
                <w:b/>
                <w:color w:val="FFFFFF"/>
                <w:sz w:val="13"/>
              </w:rPr>
              <w:t>Horizon</w:t>
            </w:r>
          </w:p>
        </w:tc>
        <w:tc>
          <w:tcPr>
            <w:tcW w:type="dxa" w:w="3456"/>
            <w:shd w:fill="0B2B50"/>
          </w:tcPr>
          <w:p>
            <w:r>
              <w:rPr>
                <w:b/>
                <w:color w:val="FFFFFF"/>
                <w:sz w:val="13"/>
              </w:rPr>
              <w:t>Management Focus</w:t>
            </w:r>
          </w:p>
        </w:tc>
        <w:tc>
          <w:tcPr>
            <w:tcW w:type="dxa" w:w="3456"/>
            <w:shd w:fill="0B2B50"/>
          </w:tcPr>
          <w:p>
            <w:r>
              <w:rPr>
                <w:b/>
                <w:color w:val="FFFFFF"/>
                <w:sz w:val="13"/>
              </w:rPr>
              <w:t>Expected Output</w:t>
            </w:r>
          </w:p>
        </w:tc>
      </w:tr>
      <w:tr>
        <w:tc>
          <w:tcPr>
            <w:tcW w:type="dxa" w:w="3456"/>
          </w:tcPr>
          <w:p>
            <w:pPr>
              <w:spacing w:after="0"/>
            </w:pPr>
            <w:r>
              <w:rPr>
                <w:sz w:val="13"/>
              </w:rPr>
              <w:t>First 30 Days</w:t>
            </w:r>
          </w:p>
        </w:tc>
        <w:tc>
          <w:tcPr>
            <w:tcW w:type="dxa" w:w="3456"/>
          </w:tcPr>
          <w:p>
            <w:pPr>
              <w:spacing w:after="0"/>
            </w:pPr>
            <w:r>
              <w:rPr>
                <w:sz w:val="13"/>
              </w:rPr>
              <w:t>Clean aging; accelerate invoices; pursue largest overdue balances; stop avoidable early payments; identify excess/obsolete inventory.</w:t>
            </w:r>
          </w:p>
        </w:tc>
        <w:tc>
          <w:tcPr>
            <w:tcW w:type="dxa" w:w="3456"/>
          </w:tcPr>
          <w:p>
            <w:pPr>
              <w:spacing w:after="0"/>
            </w:pPr>
            <w:r>
              <w:rPr>
                <w:sz w:val="13"/>
              </w:rPr>
              <w:t>Immediate cash actions and validated baseline.</w:t>
            </w:r>
          </w:p>
        </w:tc>
      </w:tr>
      <w:tr>
        <w:tc>
          <w:tcPr>
            <w:tcW w:type="dxa" w:w="3456"/>
            <w:shd w:fill="F5F7FA"/>
          </w:tcPr>
          <w:p>
            <w:pPr>
              <w:spacing w:after="0"/>
            </w:pPr>
            <w:r>
              <w:rPr>
                <w:sz w:val="13"/>
              </w:rPr>
              <w:t>Days 31-60</w:t>
            </w:r>
          </w:p>
        </w:tc>
        <w:tc>
          <w:tcPr>
            <w:tcW w:type="dxa" w:w="3456"/>
            <w:shd w:fill="F5F7FA"/>
          </w:tcPr>
          <w:p>
            <w:pPr>
              <w:spacing w:after="0"/>
            </w:pPr>
            <w:r>
              <w:rPr>
                <w:sz w:val="13"/>
              </w:rPr>
              <w:t>Renegotiate terms; improve billing/collections workflow; adjust purchasing/reorder practices; resolve disputes and credits.</w:t>
            </w:r>
          </w:p>
        </w:tc>
        <w:tc>
          <w:tcPr>
            <w:tcW w:type="dxa" w:w="3456"/>
            <w:shd w:fill="F5F7FA"/>
          </w:tcPr>
          <w:p>
            <w:pPr>
              <w:spacing w:after="0"/>
            </w:pPr>
            <w:r>
              <w:rPr>
                <w:sz w:val="13"/>
              </w:rPr>
              <w:t>Structural cycle-time improvement.</w:t>
            </w:r>
          </w:p>
        </w:tc>
      </w:tr>
      <w:tr>
        <w:tc>
          <w:tcPr>
            <w:tcW w:type="dxa" w:w="3456"/>
          </w:tcPr>
          <w:p>
            <w:pPr>
              <w:spacing w:after="0"/>
            </w:pPr>
            <w:r>
              <w:rPr>
                <w:sz w:val="13"/>
              </w:rPr>
              <w:t>Days 61-90</w:t>
            </w:r>
          </w:p>
        </w:tc>
        <w:tc>
          <w:tcPr>
            <w:tcW w:type="dxa" w:w="3456"/>
          </w:tcPr>
          <w:p>
            <w:pPr>
              <w:spacing w:after="0"/>
            </w:pPr>
            <w:r>
              <w:rPr>
                <w:sz w:val="13"/>
              </w:rPr>
              <w:t>Verify cash released; embed KPIs/controls; address persistent customers, suppliers or inventory issues.</w:t>
            </w:r>
          </w:p>
        </w:tc>
        <w:tc>
          <w:tcPr>
            <w:tcW w:type="dxa" w:w="3456"/>
          </w:tcPr>
          <w:p>
            <w:pPr>
              <w:spacing w:after="0"/>
            </w:pPr>
            <w:r>
              <w:rPr>
                <w:sz w:val="13"/>
              </w:rPr>
              <w:t>Sustained working-capital improvement.</w:t>
            </w:r>
          </w:p>
        </w:tc>
      </w:tr>
    </w:tbl>
    <w:p/>
    <w:p>
      <w:pPr>
        <w:pStyle w:val="Heading1"/>
      </w:pPr>
      <w:r>
        <w:t>5. Control Guardrails</w:t>
      </w:r>
    </w:p>
    <w:p>
      <w:pPr>
        <w:pStyle w:val="ListBullet"/>
      </w:pPr>
      <w:r>
        <w:t>Do not delay legally, contractually, tax, payroll, safety-critical, or strategically sensitive payments merely to improve DPO.</w:t>
      </w:r>
    </w:p>
    <w:p>
      <w:pPr>
        <w:pStyle w:val="ListBullet"/>
      </w:pPr>
      <w:r>
        <w:t>Do not pressure collections in a way that violates contracts, laws, customer commitments, or approved commercial strategy.</w:t>
      </w:r>
    </w:p>
    <w:p>
      <w:pPr>
        <w:pStyle w:val="ListBullet"/>
      </w:pPr>
      <w:r>
        <w:t>Do not reduce inventory below levels required for service, production continuity, safety, or contractual obligations.</w:t>
      </w:r>
    </w:p>
    <w:p>
      <w:pPr>
        <w:pStyle w:val="ListBullet"/>
      </w:pPr>
      <w:r>
        <w:t>Separate genuine cash release from timing shifts that reverse shortly afterward.</w:t>
      </w:r>
    </w:p>
    <w:p>
      <w:pPr>
        <w:pStyle w:val="ListBullet"/>
      </w:pPr>
      <w:r>
        <w:t>Maintain invoice, payment, credit, purchasing and write-off controls while accelerating action.</w:t>
      </w:r>
    </w:p>
    <w:p>
      <w:pPr>
        <w:pStyle w:val="ListBullet"/>
      </w:pPr>
      <w:r>
        <w:t>Update the cash forecast with validated working-capital changes.</w:t>
      </w:r>
    </w:p>
    <w:p>
      <w:pPr>
        <w:pStyle w:val="Heading1"/>
      </w:pPr>
      <w:r>
        <w:t>6. Benefits Realization</w:t>
      </w:r>
    </w:p>
    <w:tbl>
      <w:tblPr>
        <w:tblStyle w:val="TableGrid"/>
        <w:tblW w:type="auto" w:w="0"/>
        <w:jc w:val="center"/>
        <w:tblLook w:firstColumn="1" w:firstRow="1" w:lastColumn="0" w:lastRow="0" w:noHBand="0" w:noVBand="1" w:val="04A0"/>
      </w:tblPr>
      <w:tblGrid>
        <w:gridCol w:w="2074"/>
        <w:gridCol w:w="2074"/>
        <w:gridCol w:w="2074"/>
        <w:gridCol w:w="2074"/>
        <w:gridCol w:w="2074"/>
      </w:tblGrid>
      <w:tr>
        <w:tc>
          <w:tcPr>
            <w:tcW w:type="dxa" w:w="2074"/>
            <w:shd w:fill="0B2B50"/>
          </w:tcPr>
          <w:p>
            <w:r>
              <w:rPr>
                <w:b/>
                <w:color w:val="FFFFFF"/>
                <w:sz w:val="13"/>
              </w:rPr>
              <w:t>Initiative</w:t>
            </w:r>
          </w:p>
        </w:tc>
        <w:tc>
          <w:tcPr>
            <w:tcW w:type="dxa" w:w="2074"/>
            <w:shd w:fill="0B2B50"/>
          </w:tcPr>
          <w:p>
            <w:r>
              <w:rPr>
                <w:b/>
                <w:color w:val="FFFFFF"/>
                <w:sz w:val="13"/>
              </w:rPr>
              <w:t>Planned Cash Release</w:t>
            </w:r>
          </w:p>
        </w:tc>
        <w:tc>
          <w:tcPr>
            <w:tcW w:type="dxa" w:w="2074"/>
            <w:shd w:fill="0B2B50"/>
          </w:tcPr>
          <w:p>
            <w:r>
              <w:rPr>
                <w:b/>
                <w:color w:val="FFFFFF"/>
                <w:sz w:val="13"/>
              </w:rPr>
              <w:t>Cash Released to Date</w:t>
            </w:r>
          </w:p>
        </w:tc>
        <w:tc>
          <w:tcPr>
            <w:tcW w:type="dxa" w:w="2074"/>
            <w:shd w:fill="0B2B50"/>
          </w:tcPr>
          <w:p>
            <w:r>
              <w:rPr>
                <w:b/>
                <w:color w:val="FFFFFF"/>
                <w:sz w:val="13"/>
              </w:rPr>
              <w:t>Sustainable?</w:t>
            </w:r>
          </w:p>
        </w:tc>
        <w:tc>
          <w:tcPr>
            <w:tcW w:type="dxa" w:w="2074"/>
            <w:shd w:fill="0B2B50"/>
          </w:tcPr>
          <w:p>
            <w:r>
              <w:rPr>
                <w:b/>
                <w:color w:val="FFFFFF"/>
                <w:sz w:val="13"/>
              </w:rPr>
              <w:t>Evidence / Comment</w:t>
            </w:r>
          </w:p>
        </w:tc>
      </w:tr>
      <w:tr>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Yes / No</w:t>
            </w:r>
          </w:p>
        </w:tc>
        <w:tc>
          <w:tcPr>
            <w:tcW w:type="dxa" w:w="2074"/>
          </w:tcPr>
          <w:p>
            <w:pPr>
              <w:spacing w:after="0"/>
            </w:pPr>
            <w:r>
              <w:rPr>
                <w:sz w:val="13"/>
              </w:rPr>
              <w:t>[ ]</w:t>
            </w:r>
          </w:p>
        </w:tc>
      </w:tr>
      <w:tr>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 ]</w:t>
            </w:r>
          </w:p>
        </w:tc>
        <w:tc>
          <w:tcPr>
            <w:tcW w:type="dxa" w:w="2074"/>
            <w:shd w:fill="F5F7FA"/>
          </w:tcPr>
          <w:p>
            <w:pPr>
              <w:spacing w:after="0"/>
            </w:pPr>
            <w:r>
              <w:rPr>
                <w:sz w:val="13"/>
              </w:rPr>
              <w:t>Yes / No</w:t>
            </w:r>
          </w:p>
        </w:tc>
        <w:tc>
          <w:tcPr>
            <w:tcW w:type="dxa" w:w="2074"/>
            <w:shd w:fill="F5F7FA"/>
          </w:tcPr>
          <w:p>
            <w:pPr>
              <w:spacing w:after="0"/>
            </w:pPr>
            <w:r>
              <w:rPr>
                <w:sz w:val="13"/>
              </w:rPr>
              <w:t>[ ]</w:t>
            </w:r>
          </w:p>
        </w:tc>
      </w:tr>
      <w:tr>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 ]</w:t>
            </w:r>
          </w:p>
        </w:tc>
        <w:tc>
          <w:tcPr>
            <w:tcW w:type="dxa" w:w="2074"/>
          </w:tcPr>
          <w:p>
            <w:pPr>
              <w:spacing w:after="0"/>
            </w:pPr>
            <w:r>
              <w:rPr>
                <w:sz w:val="13"/>
              </w:rPr>
              <w:t>Yes / No</w:t>
            </w:r>
          </w:p>
        </w:tc>
        <w:tc>
          <w:tcPr>
            <w:tcW w:type="dxa" w:w="2074"/>
          </w:tcPr>
          <w:p>
            <w:pPr>
              <w:spacing w:after="0"/>
            </w:pPr>
            <w:r>
              <w:rPr>
                <w:sz w:val="13"/>
              </w:rPr>
              <w:t>[ ]</w:t>
            </w:r>
          </w:p>
        </w:tc>
      </w:tr>
    </w:tbl>
    <w:p/>
    <w:p>
      <w:pPr>
        <w:pStyle w:val="Heading1"/>
      </w:pPr>
      <w:r>
        <w:t>Executive Review Questions</w:t>
      </w:r>
    </w:p>
    <w:p>
      <w:pPr>
        <w:pStyle w:val="ListBullet"/>
      </w:pPr>
      <w:r>
        <w:t>Where is the largest controllable cash trapped today?</w:t>
      </w:r>
    </w:p>
    <w:p>
      <w:pPr>
        <w:pStyle w:val="ListBullet"/>
      </w:pPr>
      <w:r>
        <w:t>Which actions release cash fastest without damaging operations or relationships?</w:t>
      </w:r>
    </w:p>
    <w:p>
      <w:pPr>
        <w:pStyle w:val="ListBullet"/>
      </w:pPr>
      <w:r>
        <w:t>Are DSO, DPO, inventory days and the cash conversion cycle improving?</w:t>
      </w:r>
    </w:p>
    <w:p>
      <w:pPr>
        <w:pStyle w:val="ListBullet"/>
      </w:pPr>
      <w:r>
        <w:t>Which benefits are recurring versus temporary timing effects?</w:t>
      </w:r>
    </w:p>
    <w:p>
      <w:pPr>
        <w:pStyle w:val="ListBullet"/>
      </w:pPr>
      <w:r>
        <w:t>What decisions or cross-functional support are blocking further improvement?</w:t>
      </w:r>
    </w:p>
    <w:p>
      <w:pPr>
        <w:pStyle w:val="Heading1"/>
      </w:pPr>
      <w:r>
        <w:t>Professional Use</w:t>
      </w:r>
    </w:p>
    <w:p>
      <w:r>
        <w:t>FinOS provides management frameworks and operating guidance. Company-specific accounting, tax, legal, banking, financing, employment, regulatory, insolvency, creditor, and other specialized matters should be reviewed by appropriately qualified professionals. Management remains responsible for liquidity decisions, assumptions, controls, communications, compliance, and business outcomes.</w:t>
      </w:r>
    </w:p>
    <w:sectPr w:rsidR="00FC693F" w:rsidRPr="0006063C" w:rsidSect="00034616">
      <w:headerReference w:type="default" r:id="rId9"/>
      <w:footerReference w:type="default" r:id="rId10"/>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828282"/>
        <w:sz w:val="16"/>
      </w:rPr>
      <w:t>RUBI Business Playbooks / Helping People &amp; Businesses Succeed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C7A43A"/>
        <w:sz w:val="16"/>
      </w:rPr>
      <w:t>RUBI BUSINESS PLAYBOOKS  •  FinOS — FINANCE DEPARTMENT OPERATING SYSTEM™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20"/>
      <w:outlineLvl w:val="0"/>
    </w:pPr>
    <w:rPr>
      <w:rFonts w:asciiTheme="majorHAnsi" w:eastAsiaTheme="majorEastAsia" w:hAnsiTheme="majorHAnsi" w:cstheme="majorBidi" w:ascii="Aptos Display" w:hAnsi="Aptos Display"/>
      <w:b/>
      <w:bCs/>
      <w:color w:val="0B2B5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before="60"/>
      <w:contextualSpacing/>
    </w:pPr>
    <w:rPr>
      <w:rFonts w:asciiTheme="majorHAnsi" w:eastAsiaTheme="majorEastAsia" w:hAnsiTheme="majorHAnsi" w:cstheme="majorBidi" w:ascii="Aptos Display" w:hAnsi="Aptos Display"/>
      <w:b/>
      <w:color w:val="0B2B5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16"/>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