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0656"/>
      </w:tblGrid>
      <w:tr>
        <w:tc>
          <w:tcPr>
            <w:tcW w:type="dxa" w:w="10656"/>
            <w:shd w:fill="17365D"/>
            <w:tcMar>
              <w:top w:w="70" w:type="dxa"/>
              <w:start w:w="70" w:type="dxa"/>
              <w:bottom w:w="70" w:type="dxa"/>
              <w:end w:w="70" w:type="dxa"/>
            </w:tcMar>
          </w:tcPr>
          <w:p>
            <w:pPr>
              <w:jc w:val="center"/>
            </w:pPr>
            <w:r>
              <w:rPr>
                <w:rFonts w:ascii="Aptos" w:hAnsi="Aptos"/>
                <w:b/>
                <w:color w:val="D4AF37"/>
                <w:sz w:val="18"/>
              </w:rPr>
              <w:t>PRODUCT GUIDE</w:t>
            </w:r>
          </w:p>
          <w:p>
            <w:pPr>
              <w:jc w:val="center"/>
            </w:pPr>
            <w:r>
              <w:rPr>
                <w:rFonts w:ascii="Aptos" w:hAnsi="Aptos"/>
                <w:b/>
                <w:color w:val="FFFFFF"/>
                <w:sz w:val="44"/>
              </w:rPr>
              <w:t>What's Included</w:t>
            </w:r>
          </w:p>
          <w:p>
            <w:pPr>
              <w:jc w:val="center"/>
            </w:pPr>
            <w:r>
              <w:rPr>
                <w:rFonts w:ascii="Aptos" w:hAnsi="Aptos"/>
                <w:b/>
                <w:color w:val="D4AF37"/>
                <w:sz w:val="22"/>
              </w:rPr>
              <w:t>FinOS - Finance Department Operating System</w:t>
            </w:r>
          </w:p>
          <w:p>
            <w:pPr>
              <w:jc w:val="center"/>
            </w:pPr>
            <w:r>
              <w:rPr>
                <w:rFonts w:ascii="Aptos" w:hAnsi="Aptos"/>
                <w:b w:val="0"/>
                <w:color w:val="FFFFFF"/>
                <w:sz w:val="18"/>
              </w:rPr>
              <w:t>A practical overview of the capabilities and resource categories included in FinOS - Finance Department Operating System.</w:t>
            </w:r>
          </w:p>
        </w:tc>
      </w:tr>
    </w:tbl>
    <w:p/>
    <w:tbl>
      <w:tblPr>
        <w:tblStyle w:val="TableGrid"/>
        <w:tblW w:type="auto" w:w="0"/>
        <w:jc w:val="center"/>
        <w:tblLook w:firstColumn="1" w:firstRow="1" w:lastColumn="0" w:lastRow="0" w:noHBand="0" w:noVBand="1" w:val="04A0"/>
      </w:tblPr>
      <w:tblGrid>
        <w:gridCol w:w="5328"/>
        <w:gridCol w:w="5328"/>
      </w:tblGrid>
      <w:tr>
        <w:trPr>
          <w:tblHeader w:val="true"/>
          <w:cantSplit/>
        </w:trPr>
        <w:tc>
          <w:tcPr>
            <w:tcW w:type="dxa" w:w="5328"/>
            <w:shd w:fill="17365D"/>
            <w:tcMar>
              <w:top w:w="70" w:type="dxa"/>
              <w:start w:w="70" w:type="dxa"/>
              <w:bottom w:w="70" w:type="dxa"/>
              <w:end w:w="70" w:type="dxa"/>
            </w:tcMar>
          </w:tcPr>
          <w:p>
            <w:r>
              <w:rPr>
                <w:rFonts w:ascii="Aptos" w:hAnsi="Aptos"/>
                <w:b/>
                <w:color w:val="FFFFFF"/>
                <w:sz w:val="15"/>
              </w:rPr>
              <w:t>Document Control</w:t>
            </w:r>
          </w:p>
        </w:tc>
        <w:tc>
          <w:tcPr>
            <w:tcW w:type="dxa" w:w="5328"/>
            <w:shd w:fill="17365D"/>
            <w:tcMar>
              <w:top w:w="70" w:type="dxa"/>
              <w:start w:w="70" w:type="dxa"/>
              <w:bottom w:w="70" w:type="dxa"/>
              <w:end w:w="70" w:type="dxa"/>
            </w:tcMar>
          </w:tcPr>
          <w:p>
            <w:r>
              <w:rPr>
                <w:rFonts w:ascii="Aptos" w:hAnsi="Aptos"/>
                <w:b/>
                <w:color w:val="FFFFFF"/>
                <w:sz w:val="15"/>
              </w:rPr>
              <w:t>Value</w:t>
            </w:r>
          </w:p>
        </w:tc>
      </w:tr>
      <w:tr>
        <w:trPr>
          <w:cantSplit/>
        </w:trPr>
        <w:tc>
          <w:tcPr>
            <w:tcW w:type="dxa" w:w="5328"/>
            <w:tcMar>
              <w:top w:w="70" w:type="dxa"/>
              <w:start w:w="70" w:type="dxa"/>
              <w:bottom w:w="70" w:type="dxa"/>
              <w:end w:w="70" w:type="dxa"/>
            </w:tcMar>
            <w:vAlign w:val="top"/>
            <w:shd w:fill="F7F3E8"/>
          </w:tcPr>
          <w:p>
            <w:r>
              <w:rPr>
                <w:rFonts w:ascii="Aptos" w:hAnsi="Aptos"/>
                <w:b w:val="0"/>
                <w:sz w:val="15"/>
              </w:rPr>
              <w:t>Product</w:t>
            </w:r>
          </w:p>
        </w:tc>
        <w:tc>
          <w:tcPr>
            <w:tcW w:type="dxa" w:w="5328"/>
            <w:tcMar>
              <w:top w:w="70" w:type="dxa"/>
              <w:start w:w="70" w:type="dxa"/>
              <w:bottom w:w="70" w:type="dxa"/>
              <w:end w:w="70" w:type="dxa"/>
            </w:tcMar>
            <w:vAlign w:val="top"/>
            <w:shd w:fill="F7F3E8"/>
          </w:tcPr>
          <w:p>
            <w:r>
              <w:rPr>
                <w:rFonts w:ascii="Aptos" w:hAnsi="Aptos"/>
                <w:b w:val="0"/>
                <w:sz w:val="15"/>
              </w:rPr>
              <w:t>RUBI Business Playbooks | FinOS - Finance Department Operating System</w:t>
            </w:r>
          </w:p>
        </w:tc>
      </w:tr>
      <w:tr>
        <w:trPr>
          <w:cantSplit/>
        </w:trPr>
        <w:tc>
          <w:tcPr>
            <w:tcW w:type="dxa" w:w="5328"/>
            <w:tcMar>
              <w:top w:w="70" w:type="dxa"/>
              <w:start w:w="70" w:type="dxa"/>
              <w:bottom w:w="70" w:type="dxa"/>
              <w:end w:w="70" w:type="dxa"/>
            </w:tcMar>
            <w:vAlign w:val="top"/>
          </w:tcPr>
          <w:p>
            <w:r>
              <w:rPr>
                <w:rFonts w:ascii="Aptos" w:hAnsi="Aptos"/>
                <w:b w:val="0"/>
                <w:sz w:val="15"/>
              </w:rPr>
              <w:t>Document</w:t>
            </w:r>
          </w:p>
        </w:tc>
        <w:tc>
          <w:tcPr>
            <w:tcW w:type="dxa" w:w="5328"/>
            <w:tcMar>
              <w:top w:w="70" w:type="dxa"/>
              <w:start w:w="70" w:type="dxa"/>
              <w:bottom w:w="70" w:type="dxa"/>
              <w:end w:w="70" w:type="dxa"/>
            </w:tcMar>
            <w:vAlign w:val="top"/>
          </w:tcPr>
          <w:p>
            <w:r>
              <w:rPr>
                <w:rFonts w:ascii="Aptos" w:hAnsi="Aptos"/>
                <w:b w:val="0"/>
                <w:sz w:val="15"/>
              </w:rPr>
              <w:t>What's Included</w:t>
            </w:r>
          </w:p>
        </w:tc>
      </w:tr>
      <w:tr>
        <w:trPr>
          <w:cantSplit/>
        </w:trPr>
        <w:tc>
          <w:tcPr>
            <w:tcW w:type="dxa" w:w="5328"/>
            <w:tcMar>
              <w:top w:w="70" w:type="dxa"/>
              <w:start w:w="70" w:type="dxa"/>
              <w:bottom w:w="70" w:type="dxa"/>
              <w:end w:w="70" w:type="dxa"/>
            </w:tcMar>
            <w:vAlign w:val="top"/>
            <w:shd w:fill="F7F3E8"/>
          </w:tcPr>
          <w:p>
            <w:r>
              <w:rPr>
                <w:rFonts w:ascii="Aptos" w:hAnsi="Aptos"/>
                <w:b w:val="0"/>
                <w:sz w:val="15"/>
              </w:rPr>
              <w:t>Version</w:t>
            </w:r>
          </w:p>
        </w:tc>
        <w:tc>
          <w:tcPr>
            <w:tcW w:type="dxa" w:w="5328"/>
            <w:tcMar>
              <w:top w:w="70" w:type="dxa"/>
              <w:start w:w="70" w:type="dxa"/>
              <w:bottom w:w="70" w:type="dxa"/>
              <w:end w:w="70" w:type="dxa"/>
            </w:tcMar>
            <w:vAlign w:val="top"/>
            <w:shd w:fill="F7F3E8"/>
          </w:tcPr>
          <w:p>
            <w:r>
              <w:rPr>
                <w:rFonts w:ascii="Aptos" w:hAnsi="Aptos"/>
                <w:b w:val="0"/>
                <w:sz w:val="15"/>
              </w:rPr>
              <w:t>1.0</w:t>
            </w:r>
          </w:p>
        </w:tc>
      </w:tr>
      <w:tr>
        <w:trPr>
          <w:cantSplit/>
        </w:trPr>
        <w:tc>
          <w:tcPr>
            <w:tcW w:type="dxa" w:w="5328"/>
            <w:tcMar>
              <w:top w:w="70" w:type="dxa"/>
              <w:start w:w="70" w:type="dxa"/>
              <w:bottom w:w="70" w:type="dxa"/>
              <w:end w:w="70" w:type="dxa"/>
            </w:tcMar>
            <w:vAlign w:val="top"/>
          </w:tcPr>
          <w:p>
            <w:r>
              <w:rPr>
                <w:rFonts w:ascii="Aptos" w:hAnsi="Aptos"/>
                <w:b w:val="0"/>
                <w:sz w:val="15"/>
              </w:rPr>
              <w:t>Use</w:t>
            </w:r>
          </w:p>
        </w:tc>
        <w:tc>
          <w:tcPr>
            <w:tcW w:type="dxa" w:w="5328"/>
            <w:tcMar>
              <w:top w:w="70" w:type="dxa"/>
              <w:start w:w="70" w:type="dxa"/>
              <w:bottom w:w="70" w:type="dxa"/>
              <w:end w:w="70" w:type="dxa"/>
            </w:tcMar>
            <w:vAlign w:val="top"/>
          </w:tcPr>
          <w:p>
            <w:r>
              <w:rPr>
                <w:rFonts w:ascii="Aptos" w:hAnsi="Aptos"/>
                <w:b w:val="0"/>
                <w:sz w:val="15"/>
              </w:rPr>
              <w:t>Customer orientation, implementation, and ongoing Finance operating-system administration.</w:t>
            </w:r>
          </w:p>
        </w:tc>
      </w:tr>
    </w:tbl>
    <w:p>
      <w:pPr>
        <w:pStyle w:val="Heading1"/>
      </w:pPr>
      <w:r>
        <w:t>1. FinOS at a Glance</w:t>
      </w:r>
    </w:p>
    <w:p>
      <w:pPr>
        <w:spacing w:after="80"/>
      </w:pPr>
      <w:r>
        <w:rPr>
          <w:rFonts w:ascii="Aptos" w:hAnsi="Aptos"/>
          <w:b w:val="0"/>
          <w:sz w:val="16"/>
        </w:rPr>
        <w:t>FinOS is a complete Finance Department Operating System built to help management diagnose financial weaknesses, establish Finance infrastructure, operate core processes, control risk, improve cash and profitability, plan and forecast, make better capital decisions, and continuously improve Finance performance.</w:t>
      </w:r>
    </w:p>
    <w:p>
      <w:pPr>
        <w:pStyle w:val="Heading1"/>
      </w:pPr>
      <w:r>
        <w:t>2. The FinOS Operating Lifecycle</w:t>
      </w:r>
    </w:p>
    <w:p>
      <w:pPr>
        <w:spacing w:after="80"/>
      </w:pPr>
      <w:r>
        <w:rPr>
          <w:rFonts w:ascii="Aptos" w:hAnsi="Aptos"/>
          <w:b w:val="0"/>
          <w:sz w:val="16"/>
        </w:rPr>
        <w:t>FinOS supports the Finance lifecycle: Diagnose → Design → Staff → Implement → Operate → Close → Control → Report → Forecast → Manage Profit → Manage Cash → Manage Working Capital → Allocate Capital → Manage Debt → Manage Risk → Stress Test → Advise → Decide → Act → Measure → Improve → Reassess.</w:t>
      </w:r>
    </w:p>
    <w:p>
      <w:pPr>
        <w:pStyle w:val="Heading1"/>
      </w:pPr>
      <w:r>
        <w:t>3. Major Sections</w:t>
      </w:r>
    </w:p>
    <w:tbl>
      <w:tblPr>
        <w:tblStyle w:val="TableGrid"/>
        <w:tblW w:type="auto" w:w="0"/>
        <w:jc w:val="center"/>
        <w:tblLook w:firstColumn="1" w:firstRow="1" w:lastColumn="0" w:lastRow="0" w:noHBand="0" w:noVBand="1" w:val="04A0"/>
      </w:tblPr>
      <w:tblGrid>
        <w:gridCol w:w="5328"/>
        <w:gridCol w:w="5328"/>
      </w:tblGrid>
      <w:tr>
        <w:trPr>
          <w:tblHeader w:val="true"/>
          <w:cantSplit/>
        </w:trPr>
        <w:tc>
          <w:tcPr>
            <w:tcW w:type="dxa" w:w="5328"/>
            <w:shd w:fill="17365D"/>
            <w:tcMar>
              <w:top w:w="70" w:type="dxa"/>
              <w:start w:w="70" w:type="dxa"/>
              <w:bottom w:w="70" w:type="dxa"/>
              <w:end w:w="70" w:type="dxa"/>
            </w:tcMar>
          </w:tcPr>
          <w:p>
            <w:r>
              <w:rPr>
                <w:rFonts w:ascii="Aptos" w:hAnsi="Aptos"/>
                <w:b/>
                <w:color w:val="FFFFFF"/>
                <w:sz w:val="13"/>
              </w:rPr>
              <w:t>Section</w:t>
            </w:r>
          </w:p>
        </w:tc>
        <w:tc>
          <w:tcPr>
            <w:tcW w:type="dxa" w:w="5328"/>
            <w:shd w:fill="17365D"/>
            <w:tcMar>
              <w:top w:w="70" w:type="dxa"/>
              <w:start w:w="70" w:type="dxa"/>
              <w:bottom w:w="70" w:type="dxa"/>
              <w:end w:w="70" w:type="dxa"/>
            </w:tcMar>
          </w:tcPr>
          <w:p>
            <w:r>
              <w:rPr>
                <w:rFonts w:ascii="Aptos" w:hAnsi="Aptos"/>
                <w:b/>
                <w:color w:val="FFFFFF"/>
                <w:sz w:val="13"/>
              </w:rPr>
              <w:t>What It Provides</w:t>
            </w:r>
          </w:p>
        </w:tc>
      </w:tr>
      <w:tr>
        <w:trPr>
          <w:cantSplit/>
        </w:trPr>
        <w:tc>
          <w:tcPr>
            <w:tcW w:type="dxa" w:w="5328"/>
            <w:tcMar>
              <w:top w:w="70" w:type="dxa"/>
              <w:start w:w="70" w:type="dxa"/>
              <w:bottom w:w="70" w:type="dxa"/>
              <w:end w:w="70" w:type="dxa"/>
            </w:tcMar>
            <w:vAlign w:val="top"/>
            <w:shd w:fill="F7F3E8"/>
          </w:tcPr>
          <w:p>
            <w:r>
              <w:rPr>
                <w:rFonts w:ascii="Aptos" w:hAnsi="Aptos"/>
                <w:b w:val="0"/>
                <w:sz w:val="13"/>
              </w:rPr>
              <w:t>00 — START HERE</w:t>
            </w:r>
          </w:p>
        </w:tc>
        <w:tc>
          <w:tcPr>
            <w:tcW w:type="dxa" w:w="5328"/>
            <w:tcMar>
              <w:top w:w="70" w:type="dxa"/>
              <w:start w:w="70" w:type="dxa"/>
              <w:bottom w:w="70" w:type="dxa"/>
              <w:end w:w="70" w:type="dxa"/>
            </w:tcMar>
            <w:vAlign w:val="top"/>
            <w:shd w:fill="F7F3E8"/>
          </w:tcPr>
          <w:p>
            <w:r>
              <w:rPr>
                <w:rFonts w:ascii="Aptos" w:hAnsi="Aptos"/>
                <w:b w:val="0"/>
                <w:sz w:val="13"/>
              </w:rPr>
              <w:t>Customer onboarding, navigation, quick start, implementation guidance, system map, operating cadence, setup, user guidance, and product orientation.</w:t>
            </w:r>
          </w:p>
        </w:tc>
      </w:tr>
      <w:tr>
        <w:trPr>
          <w:cantSplit/>
        </w:trPr>
        <w:tc>
          <w:tcPr>
            <w:tcW w:type="dxa" w:w="5328"/>
            <w:tcMar>
              <w:top w:w="70" w:type="dxa"/>
              <w:start w:w="70" w:type="dxa"/>
              <w:bottom w:w="70" w:type="dxa"/>
              <w:end w:w="70" w:type="dxa"/>
            </w:tcMar>
            <w:vAlign w:val="top"/>
          </w:tcPr>
          <w:p>
            <w:r>
              <w:rPr>
                <w:rFonts w:ascii="Aptos" w:hAnsi="Aptos"/>
                <w:b w:val="0"/>
                <w:sz w:val="13"/>
              </w:rPr>
              <w:t>01 — Executive Finance Command Center</w:t>
            </w:r>
          </w:p>
        </w:tc>
        <w:tc>
          <w:tcPr>
            <w:tcW w:type="dxa" w:w="5328"/>
            <w:tcMar>
              <w:top w:w="70" w:type="dxa"/>
              <w:start w:w="70" w:type="dxa"/>
              <w:bottom w:w="70" w:type="dxa"/>
              <w:end w:w="70" w:type="dxa"/>
            </w:tcMar>
            <w:vAlign w:val="top"/>
          </w:tcPr>
          <w:p>
            <w:r>
              <w:rPr>
                <w:rFonts w:ascii="Aptos" w:hAnsi="Aptos"/>
                <w:b w:val="0"/>
                <w:sz w:val="13"/>
              </w:rPr>
              <w:t>Executive financial visibility, Enterprise Financial Operating Score, early warning, decision support, cash, profitability, working capital, risk, priorities, and owner intelligence.</w:t>
            </w:r>
          </w:p>
        </w:tc>
      </w:tr>
      <w:tr>
        <w:trPr>
          <w:cantSplit/>
        </w:trPr>
        <w:tc>
          <w:tcPr>
            <w:tcW w:type="dxa" w:w="5328"/>
            <w:tcMar>
              <w:top w:w="70" w:type="dxa"/>
              <w:start w:w="70" w:type="dxa"/>
              <w:bottom w:w="70" w:type="dxa"/>
              <w:end w:w="70" w:type="dxa"/>
            </w:tcMar>
            <w:vAlign w:val="top"/>
            <w:shd w:fill="F7F3E8"/>
          </w:tcPr>
          <w:p>
            <w:r>
              <w:rPr>
                <w:rFonts w:ascii="Aptos" w:hAnsi="Aptos"/>
                <w:b w:val="0"/>
                <w:sz w:val="13"/>
              </w:rPr>
              <w:t>02 — Financial Diagnostics &amp; Assessments</w:t>
            </w:r>
          </w:p>
        </w:tc>
        <w:tc>
          <w:tcPr>
            <w:tcW w:type="dxa" w:w="5328"/>
            <w:tcMar>
              <w:top w:w="70" w:type="dxa"/>
              <w:start w:w="70" w:type="dxa"/>
              <w:bottom w:w="70" w:type="dxa"/>
              <w:end w:w="70" w:type="dxa"/>
            </w:tcMar>
            <w:vAlign w:val="top"/>
            <w:shd w:fill="F7F3E8"/>
          </w:tcPr>
          <w:p>
            <w:r>
              <w:rPr>
                <w:rFonts w:ascii="Aptos" w:hAnsi="Aptos"/>
                <w:b w:val="0"/>
                <w:sz w:val="13"/>
              </w:rPr>
              <w:t>Assessments of Finance maturity, financial health, cash, profitability, reporting, close, controls, fraud, debt, tax, technology, team capability, resilience, and more.</w:t>
            </w:r>
          </w:p>
        </w:tc>
      </w:tr>
      <w:tr>
        <w:trPr>
          <w:cantSplit/>
        </w:trPr>
        <w:tc>
          <w:tcPr>
            <w:tcW w:type="dxa" w:w="5328"/>
            <w:tcMar>
              <w:top w:w="70" w:type="dxa"/>
              <w:start w:w="70" w:type="dxa"/>
              <w:bottom w:w="70" w:type="dxa"/>
              <w:end w:w="70" w:type="dxa"/>
            </w:tcMar>
            <w:vAlign w:val="top"/>
          </w:tcPr>
          <w:p>
            <w:r>
              <w:rPr>
                <w:rFonts w:ascii="Aptos" w:hAnsi="Aptos"/>
                <w:b w:val="0"/>
                <w:sz w:val="13"/>
              </w:rPr>
              <w:t>03 — Operating Doctrine</w:t>
            </w:r>
          </w:p>
        </w:tc>
        <w:tc>
          <w:tcPr>
            <w:tcW w:type="dxa" w:w="5328"/>
            <w:tcMar>
              <w:top w:w="70" w:type="dxa"/>
              <w:start w:w="70" w:type="dxa"/>
              <w:bottom w:w="70" w:type="dxa"/>
              <w:end w:w="70" w:type="dxa"/>
            </w:tcMar>
            <w:vAlign w:val="top"/>
          </w:tcPr>
          <w:p>
            <w:r>
              <w:rPr>
                <w:rFonts w:ascii="Aptos" w:hAnsi="Aptos"/>
                <w:b w:val="0"/>
                <w:sz w:val="13"/>
              </w:rPr>
              <w:t>Core Finance operating principles, standards, expectations, and service-level disciplines.</w:t>
            </w:r>
          </w:p>
        </w:tc>
      </w:tr>
      <w:tr>
        <w:trPr>
          <w:cantSplit/>
        </w:trPr>
        <w:tc>
          <w:tcPr>
            <w:tcW w:type="dxa" w:w="5328"/>
            <w:tcMar>
              <w:top w:w="70" w:type="dxa"/>
              <w:start w:w="70" w:type="dxa"/>
              <w:bottom w:w="70" w:type="dxa"/>
              <w:end w:w="70" w:type="dxa"/>
            </w:tcMar>
            <w:vAlign w:val="top"/>
            <w:shd w:fill="F7F3E8"/>
          </w:tcPr>
          <w:p>
            <w:r>
              <w:rPr>
                <w:rFonts w:ascii="Aptos" w:hAnsi="Aptos"/>
                <w:b w:val="0"/>
                <w:sz w:val="13"/>
              </w:rPr>
              <w:t>04 — Implementation &amp; Deployment</w:t>
            </w:r>
          </w:p>
        </w:tc>
        <w:tc>
          <w:tcPr>
            <w:tcW w:type="dxa" w:w="5328"/>
            <w:tcMar>
              <w:top w:w="70" w:type="dxa"/>
              <w:start w:w="70" w:type="dxa"/>
              <w:bottom w:w="70" w:type="dxa"/>
              <w:end w:w="70" w:type="dxa"/>
            </w:tcMar>
            <w:vAlign w:val="top"/>
            <w:shd w:fill="F7F3E8"/>
          </w:tcPr>
          <w:p>
            <w:r>
              <w:rPr>
                <w:rFonts w:ascii="Aptos" w:hAnsi="Aptos"/>
                <w:b w:val="0"/>
                <w:sz w:val="13"/>
              </w:rPr>
              <w:t>Activation plans, roadmaps, readiness, capability planning, post-go-live reviews, certification, and implementation management.</w:t>
            </w:r>
          </w:p>
        </w:tc>
      </w:tr>
      <w:tr>
        <w:trPr>
          <w:cantSplit/>
        </w:trPr>
        <w:tc>
          <w:tcPr>
            <w:tcW w:type="dxa" w:w="5328"/>
            <w:tcMar>
              <w:top w:w="70" w:type="dxa"/>
              <w:start w:w="70" w:type="dxa"/>
              <w:bottom w:w="70" w:type="dxa"/>
              <w:end w:w="70" w:type="dxa"/>
            </w:tcMar>
            <w:vAlign w:val="top"/>
          </w:tcPr>
          <w:p>
            <w:r>
              <w:rPr>
                <w:rFonts w:ascii="Aptos" w:hAnsi="Aptos"/>
                <w:b w:val="0"/>
                <w:sz w:val="13"/>
              </w:rPr>
              <w:t>05 — Finance SOP Library</w:t>
            </w:r>
          </w:p>
        </w:tc>
        <w:tc>
          <w:tcPr>
            <w:tcW w:type="dxa" w:w="5328"/>
            <w:tcMar>
              <w:top w:w="70" w:type="dxa"/>
              <w:start w:w="70" w:type="dxa"/>
              <w:bottom w:w="70" w:type="dxa"/>
              <w:end w:w="70" w:type="dxa"/>
            </w:tcMar>
            <w:vAlign w:val="top"/>
          </w:tcPr>
          <w:p>
            <w:r>
              <w:rPr>
                <w:rFonts w:ascii="Aptos" w:hAnsi="Aptos"/>
                <w:b w:val="0"/>
                <w:sz w:val="13"/>
              </w:rPr>
              <w:t>Operational procedures covering core accounting, A/P, A/R, payroll, treasury, planning, tax/compliance, controls, and governance.</w:t>
            </w:r>
          </w:p>
        </w:tc>
      </w:tr>
      <w:tr>
        <w:trPr>
          <w:cantSplit/>
        </w:trPr>
        <w:tc>
          <w:tcPr>
            <w:tcW w:type="dxa" w:w="5328"/>
            <w:tcMar>
              <w:top w:w="70" w:type="dxa"/>
              <w:start w:w="70" w:type="dxa"/>
              <w:bottom w:w="70" w:type="dxa"/>
              <w:end w:w="70" w:type="dxa"/>
            </w:tcMar>
            <w:vAlign w:val="top"/>
            <w:shd w:fill="F7F3E8"/>
          </w:tcPr>
          <w:p>
            <w:r>
              <w:rPr>
                <w:rFonts w:ascii="Aptos" w:hAnsi="Aptos"/>
                <w:b w:val="0"/>
                <w:sz w:val="13"/>
              </w:rPr>
              <w:t>06 — Governance &amp; Oversight</w:t>
            </w:r>
          </w:p>
        </w:tc>
        <w:tc>
          <w:tcPr>
            <w:tcW w:type="dxa" w:w="5328"/>
            <w:tcMar>
              <w:top w:w="70" w:type="dxa"/>
              <w:start w:w="70" w:type="dxa"/>
              <w:bottom w:w="70" w:type="dxa"/>
              <w:end w:w="70" w:type="dxa"/>
            </w:tcMar>
            <w:vAlign w:val="top"/>
            <w:shd w:fill="F7F3E8"/>
          </w:tcPr>
          <w:p>
            <w:r>
              <w:rPr>
                <w:rFonts w:ascii="Aptos" w:hAnsi="Aptos"/>
                <w:b w:val="0"/>
                <w:sz w:val="13"/>
              </w:rPr>
              <w:t>Roles, decision rights, meetings, calendars, certifications, issue escalation, financial decisions, accountability, and executive oversight.</w:t>
            </w:r>
          </w:p>
        </w:tc>
      </w:tr>
      <w:tr>
        <w:trPr>
          <w:cantSplit/>
        </w:trPr>
        <w:tc>
          <w:tcPr>
            <w:tcW w:type="dxa" w:w="5328"/>
            <w:tcMar>
              <w:top w:w="70" w:type="dxa"/>
              <w:start w:w="70" w:type="dxa"/>
              <w:bottom w:w="70" w:type="dxa"/>
              <w:end w:w="70" w:type="dxa"/>
            </w:tcMar>
            <w:vAlign w:val="top"/>
          </w:tcPr>
          <w:p>
            <w:r>
              <w:rPr>
                <w:rFonts w:ascii="Aptos" w:hAnsi="Aptos"/>
                <w:b w:val="0"/>
                <w:sz w:val="13"/>
              </w:rPr>
              <w:t>07 — Financial Operating Toolkit</w:t>
            </w:r>
          </w:p>
        </w:tc>
        <w:tc>
          <w:tcPr>
            <w:tcW w:type="dxa" w:w="5328"/>
            <w:tcMar>
              <w:top w:w="70" w:type="dxa"/>
              <w:start w:w="70" w:type="dxa"/>
              <w:bottom w:w="70" w:type="dxa"/>
              <w:end w:w="70" w:type="dxa"/>
            </w:tcMar>
            <w:vAlign w:val="top"/>
          </w:tcPr>
          <w:p>
            <w:r>
              <w:rPr>
                <w:rFonts w:ascii="Aptos" w:hAnsi="Aptos"/>
                <w:b w:val="0"/>
                <w:sz w:val="13"/>
              </w:rPr>
              <w:t>Registers, trackers, process tools, staffing/capacity, data maps, audit/tax tools, automation risk, process efficiency, and operational infrastructure.</w:t>
            </w:r>
          </w:p>
        </w:tc>
      </w:tr>
      <w:tr>
        <w:trPr>
          <w:cantSplit/>
        </w:trPr>
        <w:tc>
          <w:tcPr>
            <w:tcW w:type="dxa" w:w="5328"/>
            <w:tcMar>
              <w:top w:w="70" w:type="dxa"/>
              <w:start w:w="70" w:type="dxa"/>
              <w:bottom w:w="70" w:type="dxa"/>
              <w:end w:w="70" w:type="dxa"/>
            </w:tcMar>
            <w:vAlign w:val="top"/>
            <w:shd w:fill="F7F3E8"/>
          </w:tcPr>
          <w:p>
            <w:r>
              <w:rPr>
                <w:rFonts w:ascii="Aptos" w:hAnsi="Aptos"/>
                <w:b w:val="0"/>
                <w:sz w:val="13"/>
              </w:rPr>
              <w:t>08 — Calculators &amp; Financial Decision Tools</w:t>
            </w:r>
          </w:p>
        </w:tc>
        <w:tc>
          <w:tcPr>
            <w:tcW w:type="dxa" w:w="5328"/>
            <w:tcMar>
              <w:top w:w="70" w:type="dxa"/>
              <w:start w:w="70" w:type="dxa"/>
              <w:bottom w:w="70" w:type="dxa"/>
              <w:end w:w="70" w:type="dxa"/>
            </w:tcMar>
            <w:vAlign w:val="top"/>
            <w:shd w:fill="F7F3E8"/>
          </w:tcPr>
          <w:p>
            <w:r>
              <w:rPr>
                <w:rFonts w:ascii="Aptos" w:hAnsi="Aptos"/>
                <w:b w:val="0"/>
                <w:sz w:val="13"/>
              </w:rPr>
              <w:t>Profitability, margin, cash, working capital, debt, investment, capital, pricing, growth, and decision calculations.</w:t>
            </w:r>
          </w:p>
        </w:tc>
      </w:tr>
      <w:tr>
        <w:trPr>
          <w:cantSplit/>
        </w:trPr>
        <w:tc>
          <w:tcPr>
            <w:tcW w:type="dxa" w:w="5328"/>
            <w:tcMar>
              <w:top w:w="70" w:type="dxa"/>
              <w:start w:w="70" w:type="dxa"/>
              <w:bottom w:w="70" w:type="dxa"/>
              <w:end w:w="70" w:type="dxa"/>
            </w:tcMar>
            <w:vAlign w:val="top"/>
          </w:tcPr>
          <w:p>
            <w:r>
              <w:rPr>
                <w:rFonts w:ascii="Aptos" w:hAnsi="Aptos"/>
                <w:b w:val="0"/>
                <w:sz w:val="13"/>
              </w:rPr>
              <w:t>09 — Budgeting, Forecasting &amp; FP&amp;A</w:t>
            </w:r>
          </w:p>
        </w:tc>
        <w:tc>
          <w:tcPr>
            <w:tcW w:type="dxa" w:w="5328"/>
            <w:tcMar>
              <w:top w:w="70" w:type="dxa"/>
              <w:start w:w="70" w:type="dxa"/>
              <w:bottom w:w="70" w:type="dxa"/>
              <w:end w:w="70" w:type="dxa"/>
            </w:tcMar>
            <w:vAlign w:val="top"/>
          </w:tcPr>
          <w:p>
            <w:r>
              <w:rPr>
                <w:rFonts w:ascii="Aptos" w:hAnsi="Aptos"/>
                <w:b w:val="0"/>
                <w:sz w:val="13"/>
              </w:rPr>
              <w:t>Annual/department budgets, forecasts, scenarios, sensitivities, variance analysis, operating plans, and financial strategy.</w:t>
            </w:r>
          </w:p>
        </w:tc>
      </w:tr>
      <w:tr>
        <w:trPr>
          <w:cantSplit/>
        </w:trPr>
        <w:tc>
          <w:tcPr>
            <w:tcW w:type="dxa" w:w="5328"/>
            <w:tcMar>
              <w:top w:w="70" w:type="dxa"/>
              <w:start w:w="70" w:type="dxa"/>
              <w:bottom w:w="70" w:type="dxa"/>
              <w:end w:w="70" w:type="dxa"/>
            </w:tcMar>
            <w:vAlign w:val="top"/>
            <w:shd w:fill="F7F3E8"/>
          </w:tcPr>
          <w:p>
            <w:r>
              <w:rPr>
                <w:rFonts w:ascii="Aptos" w:hAnsi="Aptos"/>
                <w:b w:val="0"/>
                <w:sz w:val="13"/>
              </w:rPr>
              <w:t>10 — Profitability &amp; Cost Management</w:t>
            </w:r>
          </w:p>
        </w:tc>
        <w:tc>
          <w:tcPr>
            <w:tcW w:type="dxa" w:w="5328"/>
            <w:tcMar>
              <w:top w:w="70" w:type="dxa"/>
              <w:start w:w="70" w:type="dxa"/>
              <w:bottom w:w="70" w:type="dxa"/>
              <w:end w:w="70" w:type="dxa"/>
            </w:tcMar>
            <w:vAlign w:val="top"/>
            <w:shd w:fill="F7F3E8"/>
          </w:tcPr>
          <w:p>
            <w:r>
              <w:rPr>
                <w:rFonts w:ascii="Aptos" w:hAnsi="Aptos"/>
                <w:b w:val="0"/>
                <w:sz w:val="13"/>
              </w:rPr>
              <w:t>Profitability by dimension, margins, cost structure, leakage, improvement, free cash flow, ROIC, and capital productivity.</w:t>
            </w:r>
          </w:p>
        </w:tc>
      </w:tr>
      <w:tr>
        <w:trPr>
          <w:cantSplit/>
        </w:trPr>
        <w:tc>
          <w:tcPr>
            <w:tcW w:type="dxa" w:w="5328"/>
            <w:tcMar>
              <w:top w:w="70" w:type="dxa"/>
              <w:start w:w="70" w:type="dxa"/>
              <w:bottom w:w="70" w:type="dxa"/>
              <w:end w:w="70" w:type="dxa"/>
            </w:tcMar>
            <w:vAlign w:val="top"/>
          </w:tcPr>
          <w:p>
            <w:r>
              <w:rPr>
                <w:rFonts w:ascii="Aptos" w:hAnsi="Aptos"/>
                <w:b w:val="0"/>
                <w:sz w:val="13"/>
              </w:rPr>
              <w:t>11 — Cash, Working Capital &amp; Liquidity</w:t>
            </w:r>
          </w:p>
        </w:tc>
        <w:tc>
          <w:tcPr>
            <w:tcW w:type="dxa" w:w="5328"/>
            <w:tcMar>
              <w:top w:w="70" w:type="dxa"/>
              <w:start w:w="70" w:type="dxa"/>
              <w:bottom w:w="70" w:type="dxa"/>
              <w:end w:w="70" w:type="dxa"/>
            </w:tcMar>
            <w:vAlign w:val="top"/>
          </w:tcPr>
          <w:p>
            <w:r>
              <w:rPr>
                <w:rFonts w:ascii="Aptos" w:hAnsi="Aptos"/>
                <w:b w:val="0"/>
                <w:sz w:val="13"/>
              </w:rPr>
              <w:t>Cash forecasting, liquidity, treasury, working capital, commitments, capital allocation, growth funding, debt decisions, and cash deployment.</w:t>
            </w:r>
          </w:p>
        </w:tc>
      </w:tr>
      <w:tr>
        <w:trPr>
          <w:cantSplit/>
        </w:trPr>
        <w:tc>
          <w:tcPr>
            <w:tcW w:type="dxa" w:w="5328"/>
            <w:tcMar>
              <w:top w:w="70" w:type="dxa"/>
              <w:start w:w="70" w:type="dxa"/>
              <w:bottom w:w="70" w:type="dxa"/>
              <w:end w:w="70" w:type="dxa"/>
            </w:tcMar>
            <w:vAlign w:val="top"/>
            <w:shd w:fill="F7F3E8"/>
          </w:tcPr>
          <w:p>
            <w:r>
              <w:rPr>
                <w:rFonts w:ascii="Aptos" w:hAnsi="Aptos"/>
                <w:b w:val="0"/>
                <w:sz w:val="13"/>
              </w:rPr>
              <w:t>12 — Financial Reporting &amp; Management Intelligence</w:t>
            </w:r>
          </w:p>
        </w:tc>
        <w:tc>
          <w:tcPr>
            <w:tcW w:type="dxa" w:w="5328"/>
            <w:tcMar>
              <w:top w:w="70" w:type="dxa"/>
              <w:start w:w="70" w:type="dxa"/>
              <w:bottom w:w="70" w:type="dxa"/>
              <w:end w:w="70" w:type="dxa"/>
            </w:tcMar>
            <w:vAlign w:val="top"/>
            <w:shd w:fill="F7F3E8"/>
          </w:tcPr>
          <w:p>
            <w:r>
              <w:rPr>
                <w:rFonts w:ascii="Aptos" w:hAnsi="Aptos"/>
                <w:b w:val="0"/>
                <w:sz w:val="13"/>
              </w:rPr>
              <w:t>Executive reporting, P&amp;L, balance sheet, cash flow, KPI, ratios, trends, exceptions, narratives, and reporting reliability.</w:t>
            </w:r>
          </w:p>
        </w:tc>
      </w:tr>
      <w:tr>
        <w:trPr>
          <w:cantSplit/>
        </w:trPr>
        <w:tc>
          <w:tcPr>
            <w:tcW w:type="dxa" w:w="5328"/>
            <w:tcMar>
              <w:top w:w="70" w:type="dxa"/>
              <w:start w:w="70" w:type="dxa"/>
              <w:bottom w:w="70" w:type="dxa"/>
              <w:end w:w="70" w:type="dxa"/>
            </w:tcMar>
            <w:vAlign w:val="top"/>
          </w:tcPr>
          <w:p>
            <w:r>
              <w:rPr>
                <w:rFonts w:ascii="Aptos" w:hAnsi="Aptos"/>
                <w:b w:val="0"/>
                <w:sz w:val="13"/>
              </w:rPr>
              <w:t>13 — Internal Controls &amp; Financial Risk</w:t>
            </w:r>
          </w:p>
        </w:tc>
        <w:tc>
          <w:tcPr>
            <w:tcW w:type="dxa" w:w="5328"/>
            <w:tcMar>
              <w:top w:w="70" w:type="dxa"/>
              <w:start w:w="70" w:type="dxa"/>
              <w:bottom w:w="70" w:type="dxa"/>
              <w:end w:w="70" w:type="dxa"/>
            </w:tcMar>
            <w:vAlign w:val="top"/>
          </w:tcPr>
          <w:p>
            <w:r>
              <w:rPr>
                <w:rFonts w:ascii="Aptos" w:hAnsi="Aptos"/>
                <w:b w:val="0"/>
                <w:sz w:val="13"/>
              </w:rPr>
              <w:t>Controls, fraud, banking/payment risk, dependencies, risk registers, stress scenarios, contingent exposure, and corrective action.</w:t>
            </w:r>
          </w:p>
        </w:tc>
      </w:tr>
      <w:tr>
        <w:trPr>
          <w:cantSplit/>
        </w:trPr>
        <w:tc>
          <w:tcPr>
            <w:tcW w:type="dxa" w:w="5328"/>
            <w:tcMar>
              <w:top w:w="70" w:type="dxa"/>
              <w:start w:w="70" w:type="dxa"/>
              <w:bottom w:w="70" w:type="dxa"/>
              <w:end w:w="70" w:type="dxa"/>
            </w:tcMar>
            <w:vAlign w:val="top"/>
            <w:shd w:fill="F7F3E8"/>
          </w:tcPr>
          <w:p>
            <w:r>
              <w:rPr>
                <w:rFonts w:ascii="Aptos" w:hAnsi="Aptos"/>
                <w:b w:val="0"/>
                <w:sz w:val="13"/>
              </w:rPr>
              <w:t>14 — AI Finance Tools</w:t>
            </w:r>
          </w:p>
        </w:tc>
        <w:tc>
          <w:tcPr>
            <w:tcW w:type="dxa" w:w="5328"/>
            <w:tcMar>
              <w:top w:w="70" w:type="dxa"/>
              <w:start w:w="70" w:type="dxa"/>
              <w:bottom w:w="70" w:type="dxa"/>
              <w:end w:w="70" w:type="dxa"/>
            </w:tcMar>
            <w:vAlign w:val="top"/>
            <w:shd w:fill="F7F3E8"/>
          </w:tcPr>
          <w:p>
            <w:r>
              <w:rPr>
                <w:rFonts w:ascii="Aptos" w:hAnsi="Aptos"/>
                <w:b w:val="0"/>
                <w:sz w:val="13"/>
              </w:rPr>
              <w:t>AI-assisted financial diagnostics, analysis, forecasting, reporting, scenarios, improvement, meetings, SOPs, and decision support.</w:t>
            </w:r>
          </w:p>
        </w:tc>
      </w:tr>
      <w:tr>
        <w:trPr>
          <w:cantSplit/>
        </w:trPr>
        <w:tc>
          <w:tcPr>
            <w:tcW w:type="dxa" w:w="5328"/>
            <w:tcMar>
              <w:top w:w="70" w:type="dxa"/>
              <w:start w:w="70" w:type="dxa"/>
              <w:bottom w:w="70" w:type="dxa"/>
              <w:end w:w="70" w:type="dxa"/>
            </w:tcMar>
            <w:vAlign w:val="top"/>
          </w:tcPr>
          <w:p>
            <w:r>
              <w:rPr>
                <w:rFonts w:ascii="Aptos" w:hAnsi="Aptos"/>
                <w:b w:val="0"/>
                <w:sz w:val="13"/>
              </w:rPr>
              <w:t>15 — AI Prompt Library</w:t>
            </w:r>
          </w:p>
        </w:tc>
        <w:tc>
          <w:tcPr>
            <w:tcW w:type="dxa" w:w="5328"/>
            <w:tcMar>
              <w:top w:w="70" w:type="dxa"/>
              <w:start w:w="70" w:type="dxa"/>
              <w:bottom w:w="70" w:type="dxa"/>
              <w:end w:w="70" w:type="dxa"/>
            </w:tcMar>
            <w:vAlign w:val="top"/>
          </w:tcPr>
          <w:p>
            <w:r>
              <w:rPr>
                <w:rFonts w:ascii="Aptos" w:hAnsi="Aptos"/>
                <w:b w:val="0"/>
                <w:sz w:val="13"/>
              </w:rPr>
              <w:t>Finance, CFO, analysis, management, reporting, and decision-oriented prompt resources.</w:t>
            </w:r>
          </w:p>
        </w:tc>
      </w:tr>
      <w:tr>
        <w:trPr>
          <w:cantSplit/>
        </w:trPr>
        <w:tc>
          <w:tcPr>
            <w:tcW w:type="dxa" w:w="5328"/>
            <w:tcMar>
              <w:top w:w="70" w:type="dxa"/>
              <w:start w:w="70" w:type="dxa"/>
              <w:bottom w:w="70" w:type="dxa"/>
              <w:end w:w="70" w:type="dxa"/>
            </w:tcMar>
            <w:vAlign w:val="top"/>
            <w:shd w:fill="F7F3E8"/>
          </w:tcPr>
          <w:p>
            <w:r>
              <w:rPr>
                <w:rFonts w:ascii="Aptos" w:hAnsi="Aptos"/>
                <w:b w:val="0"/>
                <w:sz w:val="13"/>
              </w:rPr>
              <w:t>16 — Policies &amp; Financial Standards</w:t>
            </w:r>
          </w:p>
        </w:tc>
        <w:tc>
          <w:tcPr>
            <w:tcW w:type="dxa" w:w="5328"/>
            <w:tcMar>
              <w:top w:w="70" w:type="dxa"/>
              <w:start w:w="70" w:type="dxa"/>
              <w:bottom w:w="70" w:type="dxa"/>
              <w:end w:w="70" w:type="dxa"/>
            </w:tcMar>
            <w:vAlign w:val="top"/>
            <w:shd w:fill="F7F3E8"/>
          </w:tcPr>
          <w:p>
            <w:r>
              <w:rPr>
                <w:rFonts w:ascii="Aptos" w:hAnsi="Aptos"/>
                <w:b w:val="0"/>
                <w:sz w:val="13"/>
              </w:rPr>
              <w:t>Finance policies, treasury/investment standards, controls, compliance, and company financial operating standards.</w:t>
            </w:r>
          </w:p>
        </w:tc>
      </w:tr>
      <w:tr>
        <w:trPr>
          <w:cantSplit/>
        </w:trPr>
        <w:tc>
          <w:tcPr>
            <w:tcW w:type="dxa" w:w="5328"/>
            <w:tcMar>
              <w:top w:w="70" w:type="dxa"/>
              <w:start w:w="70" w:type="dxa"/>
              <w:bottom w:w="70" w:type="dxa"/>
              <w:end w:w="70" w:type="dxa"/>
            </w:tcMar>
            <w:vAlign w:val="top"/>
          </w:tcPr>
          <w:p>
            <w:r>
              <w:rPr>
                <w:rFonts w:ascii="Aptos" w:hAnsi="Aptos"/>
                <w:b w:val="0"/>
                <w:sz w:val="13"/>
              </w:rPr>
              <w:t>17 — Post-Implementation &amp; Continuous Improvement</w:t>
            </w:r>
          </w:p>
        </w:tc>
        <w:tc>
          <w:tcPr>
            <w:tcW w:type="dxa" w:w="5328"/>
            <w:tcMar>
              <w:top w:w="70" w:type="dxa"/>
              <w:start w:w="70" w:type="dxa"/>
              <w:bottom w:w="70" w:type="dxa"/>
              <w:end w:w="70" w:type="dxa"/>
            </w:tcMar>
            <w:vAlign w:val="top"/>
          </w:tcPr>
          <w:p>
            <w:r>
              <w:rPr>
                <w:rFonts w:ascii="Aptos" w:hAnsi="Aptos"/>
                <w:b w:val="0"/>
                <w:sz w:val="13"/>
              </w:rPr>
              <w:t>Reassessment, ROI/value realization, adoption, maturity, early warning, effectiveness, decision quality, and continuous improvement.</w:t>
            </w:r>
          </w:p>
        </w:tc>
      </w:tr>
      <w:tr>
        <w:trPr>
          <w:cantSplit/>
        </w:trPr>
        <w:tc>
          <w:tcPr>
            <w:tcW w:type="dxa" w:w="5328"/>
            <w:tcMar>
              <w:top w:w="70" w:type="dxa"/>
              <w:start w:w="70" w:type="dxa"/>
              <w:bottom w:w="70" w:type="dxa"/>
              <w:end w:w="70" w:type="dxa"/>
            </w:tcMar>
            <w:vAlign w:val="top"/>
            <w:shd w:fill="F7F3E8"/>
          </w:tcPr>
          <w:p>
            <w:r>
              <w:rPr>
                <w:rFonts w:ascii="Aptos" w:hAnsi="Aptos"/>
                <w:b w:val="0"/>
                <w:sz w:val="13"/>
              </w:rPr>
              <w:t>18 — Legal, License &amp; Customer Support</w:t>
            </w:r>
          </w:p>
        </w:tc>
        <w:tc>
          <w:tcPr>
            <w:tcW w:type="dxa" w:w="5328"/>
            <w:tcMar>
              <w:top w:w="70" w:type="dxa"/>
              <w:start w:w="70" w:type="dxa"/>
              <w:bottom w:w="70" w:type="dxa"/>
              <w:end w:w="70" w:type="dxa"/>
            </w:tcMar>
            <w:vAlign w:val="top"/>
            <w:shd w:fill="F7F3E8"/>
          </w:tcPr>
          <w:p>
            <w:r>
              <w:rPr>
                <w:rFonts w:ascii="Aptos" w:hAnsi="Aptos"/>
                <w:b w:val="0"/>
                <w:sz w:val="13"/>
              </w:rPr>
              <w:t>License, copyright, professional-use disclaimers, guarantee, and customer-support information.</w:t>
            </w:r>
          </w:p>
        </w:tc>
      </w:tr>
    </w:tbl>
    <w:p>
      <w:pPr>
        <w:pStyle w:val="Heading1"/>
      </w:pPr>
      <w:r>
        <w:t>4. Resource Types</w:t>
      </w:r>
    </w:p>
    <w:tbl>
      <w:tblPr>
        <w:tblStyle w:val="TableGrid"/>
        <w:tblW w:type="auto" w:w="0"/>
        <w:jc w:val="center"/>
        <w:tblLook w:firstColumn="1" w:firstRow="1" w:lastColumn="0" w:lastRow="0" w:noHBand="0" w:noVBand="1" w:val="04A0"/>
      </w:tblPr>
      <w:tblGrid>
        <w:gridCol w:w="5328"/>
        <w:gridCol w:w="5328"/>
      </w:tblGrid>
      <w:tr>
        <w:trPr>
          <w:tblHeader w:val="true"/>
          <w:cantSplit/>
        </w:trPr>
        <w:tc>
          <w:tcPr>
            <w:tcW w:type="dxa" w:w="5328"/>
            <w:shd w:fill="17365D"/>
            <w:tcMar>
              <w:top w:w="70" w:type="dxa"/>
              <w:start w:w="70" w:type="dxa"/>
              <w:bottom w:w="70" w:type="dxa"/>
              <w:end w:w="70" w:type="dxa"/>
            </w:tcMar>
          </w:tcPr>
          <w:p>
            <w:r>
              <w:rPr>
                <w:rFonts w:ascii="Aptos" w:hAnsi="Aptos"/>
                <w:b/>
                <w:color w:val="FFFFFF"/>
                <w:sz w:val="14"/>
              </w:rPr>
              <w:t>Resource Type</w:t>
            </w:r>
          </w:p>
        </w:tc>
        <w:tc>
          <w:tcPr>
            <w:tcW w:type="dxa" w:w="5328"/>
            <w:shd w:fill="17365D"/>
            <w:tcMar>
              <w:top w:w="70" w:type="dxa"/>
              <w:start w:w="70" w:type="dxa"/>
              <w:bottom w:w="70" w:type="dxa"/>
              <w:end w:w="70" w:type="dxa"/>
            </w:tcMar>
          </w:tcPr>
          <w:p>
            <w:r>
              <w:rPr>
                <w:rFonts w:ascii="Aptos" w:hAnsi="Aptos"/>
                <w:b/>
                <w:color w:val="FFFFFF"/>
                <w:sz w:val="14"/>
              </w:rPr>
              <w:t>Typical Use</w:t>
            </w:r>
          </w:p>
        </w:tc>
      </w:tr>
      <w:tr>
        <w:trPr>
          <w:cantSplit/>
        </w:trPr>
        <w:tc>
          <w:tcPr>
            <w:tcW w:type="dxa" w:w="5328"/>
            <w:tcMar>
              <w:top w:w="70" w:type="dxa"/>
              <w:start w:w="70" w:type="dxa"/>
              <w:bottom w:w="70" w:type="dxa"/>
              <w:end w:w="70" w:type="dxa"/>
            </w:tcMar>
            <w:vAlign w:val="top"/>
            <w:shd w:fill="F7F3E8"/>
          </w:tcPr>
          <w:p>
            <w:r>
              <w:rPr>
                <w:rFonts w:ascii="Aptos" w:hAnsi="Aptos"/>
                <w:b w:val="0"/>
                <w:sz w:val="14"/>
              </w:rPr>
              <w:t>Interactive HTML dashboards</w:t>
            </w:r>
          </w:p>
        </w:tc>
        <w:tc>
          <w:tcPr>
            <w:tcW w:type="dxa" w:w="5328"/>
            <w:tcMar>
              <w:top w:w="70" w:type="dxa"/>
              <w:start w:w="70" w:type="dxa"/>
              <w:bottom w:w="70" w:type="dxa"/>
              <w:end w:w="70" w:type="dxa"/>
            </w:tcMar>
            <w:vAlign w:val="top"/>
            <w:shd w:fill="F7F3E8"/>
          </w:tcPr>
          <w:p>
            <w:r>
              <w:rPr>
                <w:rFonts w:ascii="Aptos" w:hAnsi="Aptos"/>
                <w:b w:val="0"/>
                <w:sz w:val="14"/>
              </w:rPr>
              <w:t>Executive visibility, KPI management, exceptions, trends, priorities, and decisions.</w:t>
            </w:r>
          </w:p>
        </w:tc>
      </w:tr>
      <w:tr>
        <w:trPr>
          <w:cantSplit/>
        </w:trPr>
        <w:tc>
          <w:tcPr>
            <w:tcW w:type="dxa" w:w="5328"/>
            <w:tcMar>
              <w:top w:w="70" w:type="dxa"/>
              <w:start w:w="70" w:type="dxa"/>
              <w:bottom w:w="70" w:type="dxa"/>
              <w:end w:w="70" w:type="dxa"/>
            </w:tcMar>
            <w:vAlign w:val="top"/>
          </w:tcPr>
          <w:p>
            <w:r>
              <w:rPr>
                <w:rFonts w:ascii="Aptos" w:hAnsi="Aptos"/>
                <w:b w:val="0"/>
                <w:sz w:val="14"/>
              </w:rPr>
              <w:t>Interactive calculators / analyzers</w:t>
            </w:r>
          </w:p>
        </w:tc>
        <w:tc>
          <w:tcPr>
            <w:tcW w:type="dxa" w:w="5328"/>
            <w:tcMar>
              <w:top w:w="70" w:type="dxa"/>
              <w:start w:w="70" w:type="dxa"/>
              <w:bottom w:w="70" w:type="dxa"/>
              <w:end w:w="70" w:type="dxa"/>
            </w:tcMar>
            <w:vAlign w:val="top"/>
          </w:tcPr>
          <w:p>
            <w:r>
              <w:rPr>
                <w:rFonts w:ascii="Aptos" w:hAnsi="Aptos"/>
                <w:b w:val="0"/>
                <w:sz w:val="14"/>
              </w:rPr>
              <w:t>Quantify financial impacts, compare alternatives, test assumptions, and support decisions.</w:t>
            </w:r>
          </w:p>
        </w:tc>
      </w:tr>
      <w:tr>
        <w:trPr>
          <w:cantSplit/>
        </w:trPr>
        <w:tc>
          <w:tcPr>
            <w:tcW w:type="dxa" w:w="5328"/>
            <w:tcMar>
              <w:top w:w="70" w:type="dxa"/>
              <w:start w:w="70" w:type="dxa"/>
              <w:bottom w:w="70" w:type="dxa"/>
              <w:end w:w="70" w:type="dxa"/>
            </w:tcMar>
            <w:vAlign w:val="top"/>
            <w:shd w:fill="F7F3E8"/>
          </w:tcPr>
          <w:p>
            <w:r>
              <w:rPr>
                <w:rFonts w:ascii="Aptos" w:hAnsi="Aptos"/>
                <w:b w:val="0"/>
                <w:sz w:val="14"/>
              </w:rPr>
              <w:t>Assessments / scorecards</w:t>
            </w:r>
          </w:p>
        </w:tc>
        <w:tc>
          <w:tcPr>
            <w:tcW w:type="dxa" w:w="5328"/>
            <w:tcMar>
              <w:top w:w="70" w:type="dxa"/>
              <w:start w:w="70" w:type="dxa"/>
              <w:bottom w:w="70" w:type="dxa"/>
              <w:end w:w="70" w:type="dxa"/>
            </w:tcMar>
            <w:vAlign w:val="top"/>
            <w:shd w:fill="F7F3E8"/>
          </w:tcPr>
          <w:p>
            <w:r>
              <w:rPr>
                <w:rFonts w:ascii="Aptos" w:hAnsi="Aptos"/>
                <w:b w:val="0"/>
                <w:sz w:val="14"/>
              </w:rPr>
              <w:t>Diagnose maturity, capability, risk, discipline, readiness, and performance.</w:t>
            </w:r>
          </w:p>
        </w:tc>
      </w:tr>
      <w:tr>
        <w:trPr>
          <w:cantSplit/>
        </w:trPr>
        <w:tc>
          <w:tcPr>
            <w:tcW w:type="dxa" w:w="5328"/>
            <w:tcMar>
              <w:top w:w="70" w:type="dxa"/>
              <w:start w:w="70" w:type="dxa"/>
              <w:bottom w:w="70" w:type="dxa"/>
              <w:end w:w="70" w:type="dxa"/>
            </w:tcMar>
            <w:vAlign w:val="top"/>
          </w:tcPr>
          <w:p>
            <w:r>
              <w:rPr>
                <w:rFonts w:ascii="Aptos" w:hAnsi="Aptos"/>
                <w:b w:val="0"/>
                <w:sz w:val="14"/>
              </w:rPr>
              <w:t>Registers / trackers</w:t>
            </w:r>
          </w:p>
        </w:tc>
        <w:tc>
          <w:tcPr>
            <w:tcW w:type="dxa" w:w="5328"/>
            <w:tcMar>
              <w:top w:w="70" w:type="dxa"/>
              <w:start w:w="70" w:type="dxa"/>
              <w:bottom w:w="70" w:type="dxa"/>
              <w:end w:w="70" w:type="dxa"/>
            </w:tcMar>
            <w:vAlign w:val="top"/>
          </w:tcPr>
          <w:p>
            <w:r>
              <w:rPr>
                <w:rFonts w:ascii="Aptos" w:hAnsi="Aptos"/>
                <w:b w:val="0"/>
                <w:sz w:val="14"/>
              </w:rPr>
              <w:t>Maintain controlled operating records, risks, actions, evidence, exposures, commitments, and follow-up.</w:t>
            </w:r>
          </w:p>
        </w:tc>
      </w:tr>
      <w:tr>
        <w:trPr>
          <w:cantSplit/>
        </w:trPr>
        <w:tc>
          <w:tcPr>
            <w:tcW w:type="dxa" w:w="5328"/>
            <w:tcMar>
              <w:top w:w="70" w:type="dxa"/>
              <w:start w:w="70" w:type="dxa"/>
              <w:bottom w:w="70" w:type="dxa"/>
              <w:end w:w="70" w:type="dxa"/>
            </w:tcMar>
            <w:vAlign w:val="top"/>
            <w:shd w:fill="F7F3E8"/>
          </w:tcPr>
          <w:p>
            <w:r>
              <w:rPr>
                <w:rFonts w:ascii="Aptos" w:hAnsi="Aptos"/>
                <w:b w:val="0"/>
                <w:sz w:val="14"/>
              </w:rPr>
              <w:t>Word SOPs</w:t>
            </w:r>
          </w:p>
        </w:tc>
        <w:tc>
          <w:tcPr>
            <w:tcW w:type="dxa" w:w="5328"/>
            <w:tcMar>
              <w:top w:w="70" w:type="dxa"/>
              <w:start w:w="70" w:type="dxa"/>
              <w:bottom w:w="70" w:type="dxa"/>
              <w:end w:w="70" w:type="dxa"/>
            </w:tcMar>
            <w:vAlign w:val="top"/>
            <w:shd w:fill="F7F3E8"/>
          </w:tcPr>
          <w:p>
            <w:r>
              <w:rPr>
                <w:rFonts w:ascii="Aptos" w:hAnsi="Aptos"/>
                <w:b w:val="0"/>
                <w:sz w:val="14"/>
              </w:rPr>
              <w:t>Standardize repeatable Finance processes, controls, roles, evidence, and escalation.</w:t>
            </w:r>
          </w:p>
        </w:tc>
      </w:tr>
      <w:tr>
        <w:trPr>
          <w:cantSplit/>
        </w:trPr>
        <w:tc>
          <w:tcPr>
            <w:tcW w:type="dxa" w:w="5328"/>
            <w:tcMar>
              <w:top w:w="70" w:type="dxa"/>
              <w:start w:w="70" w:type="dxa"/>
              <w:bottom w:w="70" w:type="dxa"/>
              <w:end w:w="70" w:type="dxa"/>
            </w:tcMar>
            <w:vAlign w:val="top"/>
          </w:tcPr>
          <w:p>
            <w:r>
              <w:rPr>
                <w:rFonts w:ascii="Aptos" w:hAnsi="Aptos"/>
                <w:b w:val="0"/>
                <w:sz w:val="14"/>
              </w:rPr>
              <w:t>Word policies / standards</w:t>
            </w:r>
          </w:p>
        </w:tc>
        <w:tc>
          <w:tcPr>
            <w:tcW w:type="dxa" w:w="5328"/>
            <w:tcMar>
              <w:top w:w="70" w:type="dxa"/>
              <w:start w:w="70" w:type="dxa"/>
              <w:bottom w:w="70" w:type="dxa"/>
              <w:end w:w="70" w:type="dxa"/>
            </w:tcMar>
            <w:vAlign w:val="top"/>
          </w:tcPr>
          <w:p>
            <w:r>
              <w:rPr>
                <w:rFonts w:ascii="Aptos" w:hAnsi="Aptos"/>
                <w:b w:val="0"/>
                <w:sz w:val="14"/>
              </w:rPr>
              <w:t>Establish approved financial rules, governance, authorities, and operating expectations.</w:t>
            </w:r>
          </w:p>
        </w:tc>
      </w:tr>
      <w:tr>
        <w:trPr>
          <w:cantSplit/>
        </w:trPr>
        <w:tc>
          <w:tcPr>
            <w:tcW w:type="dxa" w:w="5328"/>
            <w:tcMar>
              <w:top w:w="70" w:type="dxa"/>
              <w:start w:w="70" w:type="dxa"/>
              <w:bottom w:w="70" w:type="dxa"/>
              <w:end w:w="70" w:type="dxa"/>
            </w:tcMar>
            <w:vAlign w:val="top"/>
            <w:shd w:fill="F7F3E8"/>
          </w:tcPr>
          <w:p>
            <w:r>
              <w:rPr>
                <w:rFonts w:ascii="Aptos" w:hAnsi="Aptos"/>
                <w:b w:val="0"/>
                <w:sz w:val="14"/>
              </w:rPr>
              <w:t>Plans / checklists / matrices</w:t>
            </w:r>
          </w:p>
        </w:tc>
        <w:tc>
          <w:tcPr>
            <w:tcW w:type="dxa" w:w="5328"/>
            <w:tcMar>
              <w:top w:w="70" w:type="dxa"/>
              <w:start w:w="70" w:type="dxa"/>
              <w:bottom w:w="70" w:type="dxa"/>
              <w:end w:w="70" w:type="dxa"/>
            </w:tcMar>
            <w:vAlign w:val="top"/>
            <w:shd w:fill="F7F3E8"/>
          </w:tcPr>
          <w:p>
            <w:r>
              <w:rPr>
                <w:rFonts w:ascii="Aptos" w:hAnsi="Aptos"/>
                <w:b w:val="0"/>
                <w:sz w:val="14"/>
              </w:rPr>
              <w:t>Implement, assign, certify, review, and manage Finance work.</w:t>
            </w:r>
          </w:p>
        </w:tc>
      </w:tr>
      <w:tr>
        <w:trPr>
          <w:cantSplit/>
        </w:trPr>
        <w:tc>
          <w:tcPr>
            <w:tcW w:type="dxa" w:w="5328"/>
            <w:tcMar>
              <w:top w:w="70" w:type="dxa"/>
              <w:start w:w="70" w:type="dxa"/>
              <w:bottom w:w="70" w:type="dxa"/>
              <w:end w:w="70" w:type="dxa"/>
            </w:tcMar>
            <w:vAlign w:val="top"/>
          </w:tcPr>
          <w:p>
            <w:r>
              <w:rPr>
                <w:rFonts w:ascii="Aptos" w:hAnsi="Aptos"/>
                <w:b w:val="0"/>
                <w:sz w:val="14"/>
              </w:rPr>
              <w:t>AI tools / prompt resources</w:t>
            </w:r>
          </w:p>
        </w:tc>
        <w:tc>
          <w:tcPr>
            <w:tcW w:type="dxa" w:w="5328"/>
            <w:tcMar>
              <w:top w:w="70" w:type="dxa"/>
              <w:start w:w="70" w:type="dxa"/>
              <w:bottom w:w="70" w:type="dxa"/>
              <w:end w:w="70" w:type="dxa"/>
            </w:tcMar>
            <w:vAlign w:val="top"/>
          </w:tcPr>
          <w:p>
            <w:r>
              <w:rPr>
                <w:rFonts w:ascii="Aptos" w:hAnsi="Aptos"/>
                <w:b w:val="0"/>
                <w:sz w:val="14"/>
              </w:rPr>
              <w:t>Structure AI-assisted analysis, narratives, scenarios, meetings, action planning, and decision support.</w:t>
            </w:r>
          </w:p>
        </w:tc>
      </w:tr>
    </w:tbl>
    <w:p>
      <w:pPr>
        <w:pStyle w:val="Heading1"/>
      </w:pPr>
      <w:r>
        <w:t>5. Flagship Management Capabilities</w:t>
      </w:r>
    </w:p>
    <w:p>
      <w:pPr>
        <w:pStyle w:val="ListBullet"/>
        <w:spacing w:after="40"/>
      </w:pPr>
      <w:r>
        <w:rPr>
          <w:rFonts w:ascii="Aptos" w:hAnsi="Aptos"/>
          <w:b w:val="0"/>
          <w:sz w:val="16"/>
        </w:rPr>
        <w:t>Enterprise Financial Operating Score and executive reassessment.</w:t>
      </w:r>
    </w:p>
    <w:p>
      <w:pPr>
        <w:pStyle w:val="ListBullet"/>
        <w:spacing w:after="40"/>
      </w:pPr>
      <w:r>
        <w:rPr>
          <w:rFonts w:ascii="Aptos" w:hAnsi="Aptos"/>
          <w:b w:val="0"/>
          <w:sz w:val="16"/>
        </w:rPr>
        <w:t>Executive Finance Command Center and executive financial dashboards.</w:t>
      </w:r>
    </w:p>
    <w:p>
      <w:pPr>
        <w:pStyle w:val="ListBullet"/>
        <w:spacing w:after="40"/>
      </w:pPr>
      <w:r>
        <w:rPr>
          <w:rFonts w:ascii="Aptos" w:hAnsi="Aptos"/>
          <w:b w:val="0"/>
          <w:sz w:val="16"/>
        </w:rPr>
        <w:t>Financial Early Warning System and financial alerts/exceptions management.</w:t>
      </w:r>
    </w:p>
    <w:p>
      <w:pPr>
        <w:pStyle w:val="ListBullet"/>
        <w:spacing w:after="40"/>
      </w:pPr>
      <w:r>
        <w:rPr>
          <w:rFonts w:ascii="Aptos" w:hAnsi="Aptos"/>
          <w:b w:val="0"/>
          <w:sz w:val="16"/>
        </w:rPr>
        <w:t>13-week cash forecasting, liquidity stress testing, and working-capital management.</w:t>
      </w:r>
    </w:p>
    <w:p>
      <w:pPr>
        <w:pStyle w:val="ListBullet"/>
        <w:spacing w:after="40"/>
      </w:pPr>
      <w:r>
        <w:rPr>
          <w:rFonts w:ascii="Aptos" w:hAnsi="Aptos"/>
          <w:b w:val="0"/>
          <w:sz w:val="16"/>
        </w:rPr>
        <w:t>Enterprise profitability, margin, cost, free-cash-flow, ROIC, and capital-productivity analysis.</w:t>
      </w:r>
    </w:p>
    <w:p>
      <w:pPr>
        <w:pStyle w:val="ListBullet"/>
        <w:spacing w:after="40"/>
      </w:pPr>
      <w:r>
        <w:rPr>
          <w:rFonts w:ascii="Aptos" w:hAnsi="Aptos"/>
          <w:b w:val="0"/>
          <w:sz w:val="16"/>
        </w:rPr>
        <w:t>Budgeting, rolling forecasting, scenario planning, sensitivities, and variance management.</w:t>
      </w:r>
    </w:p>
    <w:p>
      <w:pPr>
        <w:pStyle w:val="ListBullet"/>
        <w:spacing w:after="40"/>
      </w:pPr>
      <w:r>
        <w:rPr>
          <w:rFonts w:ascii="Aptos" w:hAnsi="Aptos"/>
          <w:b w:val="0"/>
          <w:sz w:val="16"/>
        </w:rPr>
        <w:t>Capital allocation, excess-cash deployment, growth funding, debt, and refinancing decision support.</w:t>
      </w:r>
    </w:p>
    <w:p>
      <w:pPr>
        <w:pStyle w:val="ListBullet"/>
        <w:spacing w:after="40"/>
      </w:pPr>
      <w:r>
        <w:rPr>
          <w:rFonts w:ascii="Aptos" w:hAnsi="Aptos"/>
          <w:b w:val="0"/>
          <w:sz w:val="16"/>
        </w:rPr>
        <w:t>Internal controls, fraud risk, financial risk, contingent exposure, and stress-scenario management.</w:t>
      </w:r>
    </w:p>
    <w:p>
      <w:pPr>
        <w:pStyle w:val="ListBullet"/>
        <w:spacing w:after="40"/>
      </w:pPr>
      <w:r>
        <w:rPr>
          <w:rFonts w:ascii="Aptos" w:hAnsi="Aptos"/>
          <w:b w:val="0"/>
          <w:sz w:val="16"/>
        </w:rPr>
        <w:t>Finance staffing, key-person dependency, skills/cross-training, automation risk, and process-efficiency management.</w:t>
      </w:r>
    </w:p>
    <w:p>
      <w:pPr>
        <w:pStyle w:val="ListBullet"/>
        <w:spacing w:after="40"/>
      </w:pPr>
      <w:r>
        <w:rPr>
          <w:rFonts w:ascii="Aptos" w:hAnsi="Aptos"/>
          <w:b w:val="0"/>
          <w:sz w:val="16"/>
        </w:rPr>
        <w:t>AI-assisted Finance analysis, reporting, scenario, meeting, improvement, and decision tools.</w:t>
      </w:r>
    </w:p>
    <w:p>
      <w:pPr>
        <w:pStyle w:val="Heading1"/>
      </w:pPr>
      <w:r>
        <w:t>6. Who Uses FinOS</w:t>
      </w:r>
    </w:p>
    <w:tbl>
      <w:tblPr>
        <w:tblStyle w:val="TableGrid"/>
        <w:tblW w:type="auto" w:w="0"/>
        <w:jc w:val="center"/>
        <w:tblLook w:firstColumn="1" w:firstRow="1" w:lastColumn="0" w:lastRow="0" w:noHBand="0" w:noVBand="1" w:val="04A0"/>
      </w:tblPr>
      <w:tblGrid>
        <w:gridCol w:w="5328"/>
        <w:gridCol w:w="5328"/>
      </w:tblGrid>
      <w:tr>
        <w:trPr>
          <w:tblHeader w:val="true"/>
          <w:cantSplit/>
        </w:trPr>
        <w:tc>
          <w:tcPr>
            <w:tcW w:type="dxa" w:w="5328"/>
            <w:shd w:fill="17365D"/>
            <w:tcMar>
              <w:top w:w="70" w:type="dxa"/>
              <w:start w:w="70" w:type="dxa"/>
              <w:bottom w:w="70" w:type="dxa"/>
              <w:end w:w="70" w:type="dxa"/>
            </w:tcMar>
          </w:tcPr>
          <w:p>
            <w:r>
              <w:rPr>
                <w:rFonts w:ascii="Aptos" w:hAnsi="Aptos"/>
                <w:b/>
                <w:color w:val="FFFFFF"/>
                <w:sz w:val="14"/>
              </w:rPr>
              <w:t>Role</w:t>
            </w:r>
          </w:p>
        </w:tc>
        <w:tc>
          <w:tcPr>
            <w:tcW w:type="dxa" w:w="5328"/>
            <w:shd w:fill="17365D"/>
            <w:tcMar>
              <w:top w:w="70" w:type="dxa"/>
              <w:start w:w="70" w:type="dxa"/>
              <w:bottom w:w="70" w:type="dxa"/>
              <w:end w:w="70" w:type="dxa"/>
            </w:tcMar>
          </w:tcPr>
          <w:p>
            <w:r>
              <w:rPr>
                <w:rFonts w:ascii="Aptos" w:hAnsi="Aptos"/>
                <w:b/>
                <w:color w:val="FFFFFF"/>
                <w:sz w:val="14"/>
              </w:rPr>
              <w:t>Primary Value</w:t>
            </w:r>
          </w:p>
        </w:tc>
      </w:tr>
      <w:tr>
        <w:trPr>
          <w:cantSplit/>
        </w:trPr>
        <w:tc>
          <w:tcPr>
            <w:tcW w:type="dxa" w:w="5328"/>
            <w:tcMar>
              <w:top w:w="70" w:type="dxa"/>
              <w:start w:w="70" w:type="dxa"/>
              <w:bottom w:w="70" w:type="dxa"/>
              <w:end w:w="70" w:type="dxa"/>
            </w:tcMar>
            <w:vAlign w:val="top"/>
            <w:shd w:fill="F7F3E8"/>
          </w:tcPr>
          <w:p>
            <w:r>
              <w:rPr>
                <w:rFonts w:ascii="Aptos" w:hAnsi="Aptos"/>
                <w:b w:val="0"/>
                <w:sz w:val="14"/>
              </w:rPr>
              <w:t>Owner / CEO</w:t>
            </w:r>
          </w:p>
        </w:tc>
        <w:tc>
          <w:tcPr>
            <w:tcW w:type="dxa" w:w="5328"/>
            <w:tcMar>
              <w:top w:w="70" w:type="dxa"/>
              <w:start w:w="70" w:type="dxa"/>
              <w:bottom w:w="70" w:type="dxa"/>
              <w:end w:w="70" w:type="dxa"/>
            </w:tcMar>
            <w:vAlign w:val="top"/>
            <w:shd w:fill="F7F3E8"/>
          </w:tcPr>
          <w:p>
            <w:r>
              <w:rPr>
                <w:rFonts w:ascii="Aptos" w:hAnsi="Aptos"/>
                <w:b w:val="0"/>
                <w:sz w:val="14"/>
              </w:rPr>
              <w:t>Financial visibility, cash protection, risk, profitability, capital decisions, accountability, and decision support.</w:t>
            </w:r>
          </w:p>
        </w:tc>
      </w:tr>
      <w:tr>
        <w:trPr>
          <w:cantSplit/>
        </w:trPr>
        <w:tc>
          <w:tcPr>
            <w:tcW w:type="dxa" w:w="5328"/>
            <w:tcMar>
              <w:top w:w="70" w:type="dxa"/>
              <w:start w:w="70" w:type="dxa"/>
              <w:bottom w:w="70" w:type="dxa"/>
              <w:end w:w="70" w:type="dxa"/>
            </w:tcMar>
            <w:vAlign w:val="top"/>
          </w:tcPr>
          <w:p>
            <w:r>
              <w:rPr>
                <w:rFonts w:ascii="Aptos" w:hAnsi="Aptos"/>
                <w:b w:val="0"/>
                <w:sz w:val="14"/>
              </w:rPr>
              <w:t>CFO / Finance Leader</w:t>
            </w:r>
          </w:p>
        </w:tc>
        <w:tc>
          <w:tcPr>
            <w:tcW w:type="dxa" w:w="5328"/>
            <w:tcMar>
              <w:top w:w="70" w:type="dxa"/>
              <w:start w:w="70" w:type="dxa"/>
              <w:bottom w:w="70" w:type="dxa"/>
              <w:end w:w="70" w:type="dxa"/>
            </w:tcMar>
            <w:vAlign w:val="top"/>
          </w:tcPr>
          <w:p>
            <w:r>
              <w:rPr>
                <w:rFonts w:ascii="Aptos" w:hAnsi="Aptos"/>
                <w:b w:val="0"/>
                <w:sz w:val="14"/>
              </w:rPr>
              <w:t>Integrated operating system for Finance management, planning, reporting, controls, cash, risk, and improvement.</w:t>
            </w:r>
          </w:p>
        </w:tc>
      </w:tr>
      <w:tr>
        <w:trPr>
          <w:cantSplit/>
        </w:trPr>
        <w:tc>
          <w:tcPr>
            <w:tcW w:type="dxa" w:w="5328"/>
            <w:tcMar>
              <w:top w:w="70" w:type="dxa"/>
              <w:start w:w="70" w:type="dxa"/>
              <w:bottom w:w="70" w:type="dxa"/>
              <w:end w:w="70" w:type="dxa"/>
            </w:tcMar>
            <w:vAlign w:val="top"/>
            <w:shd w:fill="F7F3E8"/>
          </w:tcPr>
          <w:p>
            <w:r>
              <w:rPr>
                <w:rFonts w:ascii="Aptos" w:hAnsi="Aptos"/>
                <w:b w:val="0"/>
                <w:sz w:val="14"/>
              </w:rPr>
              <w:t>Controller / Accounting Leader</w:t>
            </w:r>
          </w:p>
        </w:tc>
        <w:tc>
          <w:tcPr>
            <w:tcW w:type="dxa" w:w="5328"/>
            <w:tcMar>
              <w:top w:w="70" w:type="dxa"/>
              <w:start w:w="70" w:type="dxa"/>
              <w:bottom w:w="70" w:type="dxa"/>
              <w:end w:w="70" w:type="dxa"/>
            </w:tcMar>
            <w:vAlign w:val="top"/>
            <w:shd w:fill="F7F3E8"/>
          </w:tcPr>
          <w:p>
            <w:r>
              <w:rPr>
                <w:rFonts w:ascii="Aptos" w:hAnsi="Aptos"/>
                <w:b w:val="0"/>
                <w:sz w:val="14"/>
              </w:rPr>
              <w:t>Close, reconciliations, reporting reliability, accounting processes, controls, evidence, and compliance.</w:t>
            </w:r>
          </w:p>
        </w:tc>
      </w:tr>
      <w:tr>
        <w:trPr>
          <w:cantSplit/>
        </w:trPr>
        <w:tc>
          <w:tcPr>
            <w:tcW w:type="dxa" w:w="5328"/>
            <w:tcMar>
              <w:top w:w="70" w:type="dxa"/>
              <w:start w:w="70" w:type="dxa"/>
              <w:bottom w:w="70" w:type="dxa"/>
              <w:end w:w="70" w:type="dxa"/>
            </w:tcMar>
            <w:vAlign w:val="top"/>
          </w:tcPr>
          <w:p>
            <w:r>
              <w:rPr>
                <w:rFonts w:ascii="Aptos" w:hAnsi="Aptos"/>
                <w:b w:val="0"/>
                <w:sz w:val="14"/>
              </w:rPr>
              <w:t>Bookkeeper / Finance Staff</w:t>
            </w:r>
          </w:p>
        </w:tc>
        <w:tc>
          <w:tcPr>
            <w:tcW w:type="dxa" w:w="5328"/>
            <w:tcMar>
              <w:top w:w="70" w:type="dxa"/>
              <w:start w:w="70" w:type="dxa"/>
              <w:bottom w:w="70" w:type="dxa"/>
              <w:end w:w="70" w:type="dxa"/>
            </w:tcMar>
            <w:vAlign w:val="top"/>
          </w:tcPr>
          <w:p>
            <w:r>
              <w:rPr>
                <w:rFonts w:ascii="Aptos" w:hAnsi="Aptos"/>
                <w:b w:val="0"/>
                <w:sz w:val="14"/>
              </w:rPr>
              <w:t>Defined procedures, calendars, checklists, registers, responsibilities, and escalation.</w:t>
            </w:r>
          </w:p>
        </w:tc>
      </w:tr>
      <w:tr>
        <w:trPr>
          <w:cantSplit/>
        </w:trPr>
        <w:tc>
          <w:tcPr>
            <w:tcW w:type="dxa" w:w="5328"/>
            <w:tcMar>
              <w:top w:w="70" w:type="dxa"/>
              <w:start w:w="70" w:type="dxa"/>
              <w:bottom w:w="70" w:type="dxa"/>
              <w:end w:w="70" w:type="dxa"/>
            </w:tcMar>
            <w:vAlign w:val="top"/>
            <w:shd w:fill="F7F3E8"/>
          </w:tcPr>
          <w:p>
            <w:r>
              <w:rPr>
                <w:rFonts w:ascii="Aptos" w:hAnsi="Aptos"/>
                <w:b w:val="0"/>
                <w:sz w:val="14"/>
              </w:rPr>
              <w:t>Department / Budget Owners</w:t>
            </w:r>
          </w:p>
        </w:tc>
        <w:tc>
          <w:tcPr>
            <w:tcW w:type="dxa" w:w="5328"/>
            <w:tcMar>
              <w:top w:w="70" w:type="dxa"/>
              <w:start w:w="70" w:type="dxa"/>
              <w:bottom w:w="70" w:type="dxa"/>
              <w:end w:w="70" w:type="dxa"/>
            </w:tcMar>
            <w:vAlign w:val="top"/>
            <w:shd w:fill="F7F3E8"/>
          </w:tcPr>
          <w:p>
            <w:r>
              <w:rPr>
                <w:rFonts w:ascii="Aptos" w:hAnsi="Aptos"/>
                <w:b w:val="0"/>
                <w:sz w:val="14"/>
              </w:rPr>
              <w:t>Budget accountability, forecasts, variance explanations, CapEx requests, and financial performance ownership.</w:t>
            </w:r>
          </w:p>
        </w:tc>
      </w:tr>
      <w:tr>
        <w:trPr>
          <w:cantSplit/>
        </w:trPr>
        <w:tc>
          <w:tcPr>
            <w:tcW w:type="dxa" w:w="5328"/>
            <w:tcMar>
              <w:top w:w="70" w:type="dxa"/>
              <w:start w:w="70" w:type="dxa"/>
              <w:bottom w:w="70" w:type="dxa"/>
              <w:end w:w="70" w:type="dxa"/>
            </w:tcMar>
            <w:vAlign w:val="top"/>
          </w:tcPr>
          <w:p>
            <w:r>
              <w:rPr>
                <w:rFonts w:ascii="Aptos" w:hAnsi="Aptos"/>
                <w:b w:val="0"/>
                <w:sz w:val="14"/>
              </w:rPr>
              <w:t>External Advisers</w:t>
            </w:r>
          </w:p>
        </w:tc>
        <w:tc>
          <w:tcPr>
            <w:tcW w:type="dxa" w:w="5328"/>
            <w:tcMar>
              <w:top w:w="70" w:type="dxa"/>
              <w:start w:w="70" w:type="dxa"/>
              <w:bottom w:w="70" w:type="dxa"/>
              <w:end w:w="70" w:type="dxa"/>
            </w:tcMar>
            <w:vAlign w:val="top"/>
          </w:tcPr>
          <w:p>
            <w:r>
              <w:rPr>
                <w:rFonts w:ascii="Aptos" w:hAnsi="Aptos"/>
                <w:b w:val="0"/>
                <w:sz w:val="14"/>
              </w:rPr>
              <w:t>Structured company information and management processes that can support professional accounting, tax, legal, banking, insurance, or other review.</w:t>
            </w:r>
          </w:p>
        </w:tc>
      </w:tr>
    </w:tbl>
    <w:p>
      <w:pPr>
        <w:pStyle w:val="Heading1"/>
      </w:pPr>
      <w:r>
        <w:t>7. How to Use the Product</w:t>
      </w:r>
    </w:p>
    <w:p>
      <w:pPr>
        <w:spacing w:after="80"/>
      </w:pPr>
      <w:r>
        <w:rPr>
          <w:rFonts w:ascii="Aptos" w:hAnsi="Aptos"/>
          <w:b w:val="0"/>
          <w:sz w:val="16"/>
        </w:rPr>
        <w:t>Begin in Folder 00. Use the Executive Quick Start or problem-based navigator to avoid browsing hundreds of files. Deploy only the resources needed for the company's current priorities, then build toward a complete operating cadence. FinOS is most valuable when outputs become recurring management routines, assigned actions, controlled decisions, and evidence—not when files are used once and forgotten.</w:t>
      </w:r>
    </w:p>
    <w:sectPr w:rsidR="00FC693F" w:rsidRPr="0006063C" w:rsidSect="00034616">
      <w:headerReference w:type="default" r:id="rId9"/>
      <w:footerReference w:type="default" r:id="rId10"/>
      <w:pgSz w:w="12240" w:h="15840"/>
      <w:pgMar w:top="691" w:right="792" w:bottom="691"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color w:val="666666"/>
        <w:sz w:val="14"/>
      </w:rPr>
      <w:t>FinOS - Finance Department Operating System | What's Included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365D"/>
        <w:sz w:val="14"/>
      </w:rPr>
      <w:t>RUBI BUSINESS PLAYBOOKS | FinOS - Finance Department Operating System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7365D"/>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