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rial" w:hAnsi="Arial"/>
          <w:b/>
          <w:i w:val="0"/>
          <w:color w:val="C7972F"/>
          <w:sz w:val="20"/>
        </w:rPr>
        <w:t>RUBI BUSINESS PLAYBOOKS</w:t>
      </w:r>
    </w:p>
    <w:p>
      <w:pPr>
        <w:pStyle w:val="Title"/>
      </w:pPr>
      <w:r>
        <w:t>Customer Credit Policy</w:t>
      </w:r>
    </w:p>
    <w:p>
      <w:pPr>
        <w:pStyle w:val="Subtitle"/>
      </w:pPr>
      <w:r>
        <w:t>A comprehensive policy framework for approving, monitoring, controlling, escalating, and renewing customer credit.</w:t>
      </w:r>
    </w:p>
    <w:tbl>
      <w:tblPr>
        <w:tblStyle w:val="TableGrid"/>
        <w:tblW w:type="dxa" w:w="9360"/>
        <w:jc w:val="left"/>
        <w:tblLayout w:type="fixed"/>
        <w:tblLook w:firstColumn="1" w:firstRow="1" w:lastColumn="0" w:lastRow="0" w:noHBand="0" w:noVBand="1" w:val="04A0"/>
        <w:tblInd w:w="120" w:type="dxa"/>
      </w:tblPr>
      <w:tblGrid>
        <w:gridCol w:w="3000"/>
        <w:gridCol w:w="6360"/>
      </w:tblGrid>
      <w:tr>
        <w:tc>
          <w:tcPr>
            <w:tcW w:type="dxa" w:w="3000"/>
            <w:shd w:fill="112740"/>
            <w:vAlign w:val="center"/>
          </w:tcPr>
          <w:p>
            <w:r>
              <w:rPr>
                <w:rFonts w:ascii="Arial" w:hAnsi="Arial"/>
                <w:b/>
                <w:i w:val="0"/>
                <w:color w:val="FFFFFF"/>
                <w:sz w:val="18"/>
              </w:rPr>
              <w:t>Policy control</w:t>
            </w:r>
          </w:p>
        </w:tc>
        <w:tc>
          <w:tcPr>
            <w:tcW w:type="dxa" w:w="6360"/>
            <w:shd w:fill="112740"/>
            <w:vAlign w:val="center"/>
          </w:tcPr>
          <w:p>
            <w:r>
              <w:rPr>
                <w:rFonts w:ascii="Arial" w:hAnsi="Arial"/>
                <w:b/>
                <w:i w:val="0"/>
                <w:color w:val="FFFFFF"/>
                <w:sz w:val="18"/>
              </w:rPr>
              <w:t>Requirement</w:t>
            </w:r>
          </w:p>
        </w:tc>
      </w:tr>
      <w:tr>
        <w:tc>
          <w:tcPr>
            <w:tcW w:type="dxa" w:w="3000"/>
            <w:vAlign w:val="center"/>
          </w:tcPr>
          <w:p>
            <w:pPr>
              <w:spacing w:after="0"/>
            </w:pPr>
            <w:r>
              <w:rPr>
                <w:rFonts w:ascii="Arial" w:hAnsi="Arial"/>
                <w:b w:val="0"/>
                <w:i w:val="0"/>
                <w:color w:val="304154"/>
                <w:sz w:val="17"/>
              </w:rPr>
              <w:t>Policy owner</w:t>
            </w:r>
          </w:p>
        </w:tc>
        <w:tc>
          <w:tcPr>
            <w:tcW w:type="dxa" w:w="6360"/>
            <w:vAlign w:val="center"/>
          </w:tcPr>
          <w:p>
            <w:pPr>
              <w:spacing w:after="0"/>
            </w:pPr>
            <w:r>
              <w:rPr>
                <w:rFonts w:ascii="Arial" w:hAnsi="Arial"/>
                <w:b w:val="0"/>
                <w:i w:val="0"/>
                <w:color w:val="304154"/>
                <w:sz w:val="17"/>
              </w:rPr>
              <w:t>Finance / credit leader</w:t>
            </w:r>
          </w:p>
        </w:tc>
      </w:tr>
      <w:tr>
        <w:tc>
          <w:tcPr>
            <w:tcW w:type="dxa" w:w="3000"/>
            <w:shd w:fill="F3F5F7"/>
            <w:vAlign w:val="center"/>
          </w:tcPr>
          <w:p>
            <w:pPr>
              <w:spacing w:after="0"/>
            </w:pPr>
            <w:r>
              <w:rPr>
                <w:rFonts w:ascii="Arial" w:hAnsi="Arial"/>
                <w:b w:val="0"/>
                <w:i w:val="0"/>
                <w:color w:val="304154"/>
                <w:sz w:val="17"/>
              </w:rPr>
              <w:t>Approving authority</w:t>
            </w:r>
          </w:p>
        </w:tc>
        <w:tc>
          <w:tcPr>
            <w:tcW w:type="dxa" w:w="6360"/>
            <w:shd w:fill="F3F5F7"/>
            <w:vAlign w:val="center"/>
          </w:tcPr>
          <w:p>
            <w:pPr>
              <w:spacing w:after="0"/>
            </w:pPr>
            <w:r>
              <w:rPr>
                <w:rFonts w:ascii="Arial" w:hAnsi="Arial"/>
                <w:b w:val="0"/>
                <w:i w:val="0"/>
                <w:color w:val="304154"/>
                <w:sz w:val="17"/>
              </w:rPr>
              <w:t>Owner, CEO, CFO, or delegated credit authority</w:t>
            </w:r>
          </w:p>
        </w:tc>
      </w:tr>
      <w:tr>
        <w:tc>
          <w:tcPr>
            <w:tcW w:type="dxa" w:w="3000"/>
            <w:vAlign w:val="center"/>
          </w:tcPr>
          <w:p>
            <w:pPr>
              <w:spacing w:after="0"/>
            </w:pPr>
            <w:r>
              <w:rPr>
                <w:rFonts w:ascii="Arial" w:hAnsi="Arial"/>
                <w:b w:val="0"/>
                <w:i w:val="0"/>
                <w:color w:val="304154"/>
                <w:sz w:val="17"/>
              </w:rPr>
              <w:t>Effective date / version</w:t>
            </w:r>
          </w:p>
        </w:tc>
        <w:tc>
          <w:tcPr>
            <w:tcW w:type="dxa" w:w="6360"/>
            <w:vAlign w:val="center"/>
          </w:tcPr>
          <w:p>
            <w:pPr>
              <w:spacing w:after="0"/>
            </w:pPr>
            <w:r>
              <w:rPr>
                <w:rFonts w:ascii="Arial" w:hAnsi="Arial"/>
                <w:b w:val="0"/>
                <w:i w:val="0"/>
                <w:color w:val="304154"/>
                <w:sz w:val="17"/>
              </w:rPr>
              <w:t>____________________________</w:t>
            </w:r>
          </w:p>
        </w:tc>
      </w:tr>
      <w:tr>
        <w:tc>
          <w:tcPr>
            <w:tcW w:type="dxa" w:w="3000"/>
            <w:shd w:fill="F3F5F7"/>
            <w:vAlign w:val="center"/>
          </w:tcPr>
          <w:p>
            <w:pPr>
              <w:spacing w:after="0"/>
            </w:pPr>
            <w:r>
              <w:rPr>
                <w:rFonts w:ascii="Arial" w:hAnsi="Arial"/>
                <w:b w:val="0"/>
                <w:i w:val="0"/>
                <w:color w:val="304154"/>
                <w:sz w:val="17"/>
              </w:rPr>
              <w:t>Review frequency</w:t>
            </w:r>
          </w:p>
        </w:tc>
        <w:tc>
          <w:tcPr>
            <w:tcW w:type="dxa" w:w="6360"/>
            <w:shd w:fill="F3F5F7"/>
            <w:vAlign w:val="center"/>
          </w:tcPr>
          <w:p>
            <w:pPr>
              <w:spacing w:after="0"/>
            </w:pPr>
            <w:r>
              <w:rPr>
                <w:rFonts w:ascii="Arial" w:hAnsi="Arial"/>
                <w:b w:val="0"/>
                <w:i w:val="0"/>
                <w:color w:val="304154"/>
                <w:sz w:val="17"/>
              </w:rPr>
              <w:t>At least annually and after material loss, control failure, or market change</w:t>
            </w:r>
          </w:p>
        </w:tc>
      </w:tr>
      <w:tr>
        <w:tc>
          <w:tcPr>
            <w:tcW w:type="dxa" w:w="3000"/>
            <w:vAlign w:val="center"/>
          </w:tcPr>
          <w:p>
            <w:pPr>
              <w:spacing w:after="0"/>
            </w:pPr>
            <w:r>
              <w:rPr>
                <w:rFonts w:ascii="Arial" w:hAnsi="Arial"/>
                <w:b w:val="0"/>
                <w:i w:val="0"/>
                <w:color w:val="304154"/>
                <w:sz w:val="17"/>
              </w:rPr>
              <w:t>Applies to</w:t>
            </w:r>
          </w:p>
        </w:tc>
        <w:tc>
          <w:tcPr>
            <w:tcW w:type="dxa" w:w="6360"/>
            <w:vAlign w:val="center"/>
          </w:tcPr>
          <w:p>
            <w:pPr>
              <w:spacing w:after="0"/>
            </w:pPr>
            <w:r>
              <w:rPr>
                <w:rFonts w:ascii="Arial" w:hAnsi="Arial"/>
                <w:b w:val="0"/>
                <w:i w:val="0"/>
                <w:color w:val="304154"/>
                <w:sz w:val="17"/>
              </w:rPr>
              <w:t>All entities, customers, credit sales, open orders, and related exposures</w:t>
            </w:r>
          </w:p>
        </w:tc>
      </w:tr>
    </w:tbl>
    <w:p>
      <w:pPr>
        <w:spacing w:after="0"/>
      </w:pPr>
    </w:p>
    <w:p>
      <w:pPr>
        <w:pStyle w:val="Heading1"/>
      </w:pPr>
      <w:r>
        <w:t>1. Purpose</w:t>
      </w:r>
    </w:p>
    <w:p>
      <w:r>
        <w:t>This policy establishes consistent standards for extending customer credit while supporting profitable sales, predictable cash conversion, fair treatment, and protection from unacceptable loss and concentration.</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shd w:fill="F5F0E3"/>
          </w:tcPr>
          <w:p>
            <w:r>
              <w:rPr>
                <w:rFonts w:ascii="Arial" w:hAnsi="Arial"/>
                <w:b/>
                <w:i w:val="0"/>
                <w:color w:val="112740"/>
                <w:sz w:val="19"/>
              </w:rPr>
              <w:t xml:space="preserve">POLICY OUTCOME  </w:t>
            </w:r>
            <w:r>
              <w:rPr>
                <w:rFonts w:ascii="Arial" w:hAnsi="Arial"/>
                <w:b w:val="0"/>
                <w:i w:val="0"/>
                <w:color w:val="304154"/>
                <w:sz w:val="19"/>
              </w:rPr>
              <w:t>No customer receives or retains credit solely because of revenue potential, relationship history, or sales urgency. Credit must be supported by current evidence, defined authority, and ongoing monitoring.</w:t>
            </w:r>
          </w:p>
        </w:tc>
      </w:tr>
    </w:tbl>
    <w:p>
      <w:pPr>
        <w:spacing w:after="0"/>
      </w:pPr>
    </w:p>
    <w:p>
      <w:pPr>
        <w:pStyle w:val="Heading1"/>
      </w:pPr>
      <w:r>
        <w:t>2. Policy Principles</w:t>
      </w:r>
    </w:p>
    <w:tbl>
      <w:tblPr>
        <w:tblStyle w:val="TableGrid"/>
        <w:tblW w:type="dxa" w:w="9360"/>
        <w:jc w:val="left"/>
        <w:tblLayout w:type="fixed"/>
        <w:tblLook w:firstColumn="1" w:firstRow="1" w:lastColumn="0" w:lastRow="0" w:noHBand="0" w:noVBand="1" w:val="04A0"/>
        <w:tblInd w:w="120" w:type="dxa"/>
      </w:tblPr>
      <w:tblGrid>
        <w:gridCol w:w="2500"/>
        <w:gridCol w:w="6860"/>
      </w:tblGrid>
      <w:tr>
        <w:tc>
          <w:tcPr>
            <w:tcW w:type="dxa" w:w="2500"/>
            <w:shd w:fill="112740"/>
            <w:vAlign w:val="center"/>
          </w:tcPr>
          <w:p>
            <w:r>
              <w:rPr>
                <w:rFonts w:ascii="Arial" w:hAnsi="Arial"/>
                <w:b/>
                <w:i w:val="0"/>
                <w:color w:val="FFFFFF"/>
                <w:sz w:val="18"/>
              </w:rPr>
              <w:t>Principle</w:t>
            </w:r>
          </w:p>
        </w:tc>
        <w:tc>
          <w:tcPr>
            <w:tcW w:type="dxa" w:w="6860"/>
            <w:shd w:fill="112740"/>
            <w:vAlign w:val="center"/>
          </w:tcPr>
          <w:p>
            <w:r>
              <w:rPr>
                <w:rFonts w:ascii="Arial" w:hAnsi="Arial"/>
                <w:b/>
                <w:i w:val="0"/>
                <w:color w:val="FFFFFF"/>
                <w:sz w:val="18"/>
              </w:rPr>
              <w:t>Standard</w:t>
            </w:r>
          </w:p>
        </w:tc>
      </w:tr>
      <w:tr>
        <w:tc>
          <w:tcPr>
            <w:tcW w:type="dxa" w:w="2500"/>
            <w:vAlign w:val="center"/>
          </w:tcPr>
          <w:p>
            <w:pPr>
              <w:spacing w:after="0"/>
            </w:pPr>
            <w:r>
              <w:rPr>
                <w:rFonts w:ascii="Arial" w:hAnsi="Arial"/>
                <w:b w:val="0"/>
                <w:i w:val="0"/>
                <w:color w:val="304154"/>
                <w:sz w:val="16"/>
              </w:rPr>
              <w:t>Legal entity clarity</w:t>
            </w:r>
          </w:p>
        </w:tc>
        <w:tc>
          <w:tcPr>
            <w:tcW w:type="dxa" w:w="6860"/>
            <w:vAlign w:val="center"/>
          </w:tcPr>
          <w:p>
            <w:pPr>
              <w:spacing w:after="0"/>
            </w:pPr>
            <w:r>
              <w:rPr>
                <w:rFonts w:ascii="Arial" w:hAnsi="Arial"/>
                <w:b w:val="0"/>
                <w:i w:val="0"/>
                <w:color w:val="304154"/>
                <w:sz w:val="16"/>
              </w:rPr>
              <w:t>Approve the correct legal obligor and identify parents, affiliates, guarantors, and trade names.</w:t>
            </w:r>
          </w:p>
        </w:tc>
      </w:tr>
      <w:tr>
        <w:tc>
          <w:tcPr>
            <w:tcW w:type="dxa" w:w="2500"/>
            <w:shd w:fill="F3F5F7"/>
            <w:vAlign w:val="center"/>
          </w:tcPr>
          <w:p>
            <w:pPr>
              <w:spacing w:after="0"/>
            </w:pPr>
            <w:r>
              <w:rPr>
                <w:rFonts w:ascii="Arial" w:hAnsi="Arial"/>
                <w:b w:val="0"/>
                <w:i w:val="0"/>
                <w:color w:val="304154"/>
                <w:sz w:val="16"/>
              </w:rPr>
              <w:t>Total exposure</w:t>
            </w:r>
          </w:p>
        </w:tc>
        <w:tc>
          <w:tcPr>
            <w:tcW w:type="dxa" w:w="6860"/>
            <w:shd w:fill="F3F5F7"/>
            <w:vAlign w:val="center"/>
          </w:tcPr>
          <w:p>
            <w:pPr>
              <w:spacing w:after="0"/>
            </w:pPr>
            <w:r>
              <w:rPr>
                <w:rFonts w:ascii="Arial" w:hAnsi="Arial"/>
                <w:b w:val="0"/>
                <w:i w:val="0"/>
                <w:color w:val="304154"/>
                <w:sz w:val="16"/>
              </w:rPr>
              <w:t>Consider AR, unbilled work, open orders, commitments, disputes, and contingent exposure.</w:t>
            </w:r>
          </w:p>
        </w:tc>
      </w:tr>
      <w:tr>
        <w:tc>
          <w:tcPr>
            <w:tcW w:type="dxa" w:w="2500"/>
            <w:vAlign w:val="center"/>
          </w:tcPr>
          <w:p>
            <w:pPr>
              <w:spacing w:after="0"/>
            </w:pPr>
            <w:r>
              <w:rPr>
                <w:rFonts w:ascii="Arial" w:hAnsi="Arial"/>
                <w:b w:val="0"/>
                <w:i w:val="0"/>
                <w:color w:val="304154"/>
                <w:sz w:val="16"/>
              </w:rPr>
              <w:t>Evidence-based decision</w:t>
            </w:r>
          </w:p>
        </w:tc>
        <w:tc>
          <w:tcPr>
            <w:tcW w:type="dxa" w:w="6860"/>
            <w:vAlign w:val="center"/>
          </w:tcPr>
          <w:p>
            <w:pPr>
              <w:spacing w:after="0"/>
            </w:pPr>
            <w:r>
              <w:rPr>
                <w:rFonts w:ascii="Arial" w:hAnsi="Arial"/>
                <w:b w:val="0"/>
                <w:i w:val="0"/>
                <w:color w:val="304154"/>
                <w:sz w:val="16"/>
              </w:rPr>
              <w:t>Use payment history, financial strength, external evidence, industry conditions, concentration, and security.</w:t>
            </w:r>
          </w:p>
        </w:tc>
      </w:tr>
      <w:tr>
        <w:tc>
          <w:tcPr>
            <w:tcW w:type="dxa" w:w="2500"/>
            <w:shd w:fill="F3F5F7"/>
            <w:vAlign w:val="center"/>
          </w:tcPr>
          <w:p>
            <w:pPr>
              <w:spacing w:after="0"/>
            </w:pPr>
            <w:r>
              <w:rPr>
                <w:rFonts w:ascii="Arial" w:hAnsi="Arial"/>
                <w:b w:val="0"/>
                <w:i w:val="0"/>
                <w:color w:val="304154"/>
                <w:sz w:val="16"/>
              </w:rPr>
              <w:t>Consistent treatment</w:t>
            </w:r>
          </w:p>
        </w:tc>
        <w:tc>
          <w:tcPr>
            <w:tcW w:type="dxa" w:w="6860"/>
            <w:shd w:fill="F3F5F7"/>
            <w:vAlign w:val="center"/>
          </w:tcPr>
          <w:p>
            <w:pPr>
              <w:spacing w:after="0"/>
            </w:pPr>
            <w:r>
              <w:rPr>
                <w:rFonts w:ascii="Arial" w:hAnsi="Arial"/>
                <w:b w:val="0"/>
                <w:i w:val="0"/>
                <w:color w:val="304154"/>
                <w:sz w:val="16"/>
              </w:rPr>
              <w:t>Apply documented criteria fairly; record every exception and override.</w:t>
            </w:r>
          </w:p>
        </w:tc>
      </w:tr>
      <w:tr>
        <w:tc>
          <w:tcPr>
            <w:tcW w:type="dxa" w:w="2500"/>
            <w:vAlign w:val="center"/>
          </w:tcPr>
          <w:p>
            <w:pPr>
              <w:spacing w:after="0"/>
            </w:pPr>
            <w:r>
              <w:rPr>
                <w:rFonts w:ascii="Arial" w:hAnsi="Arial"/>
                <w:b w:val="0"/>
                <w:i w:val="0"/>
                <w:color w:val="304154"/>
                <w:sz w:val="16"/>
              </w:rPr>
              <w:t>Profit and cash protection</w:t>
            </w:r>
          </w:p>
        </w:tc>
        <w:tc>
          <w:tcPr>
            <w:tcW w:type="dxa" w:w="6860"/>
            <w:vAlign w:val="center"/>
          </w:tcPr>
          <w:p>
            <w:pPr>
              <w:spacing w:after="0"/>
            </w:pPr>
            <w:r>
              <w:rPr>
                <w:rFonts w:ascii="Arial" w:hAnsi="Arial"/>
                <w:b w:val="0"/>
                <w:i w:val="0"/>
                <w:color w:val="304154"/>
                <w:sz w:val="16"/>
              </w:rPr>
              <w:t>Terms, pricing, deposits, milestones, limits, and security must reflect risk and funding burden.</w:t>
            </w:r>
          </w:p>
        </w:tc>
      </w:tr>
      <w:tr>
        <w:tc>
          <w:tcPr>
            <w:tcW w:type="dxa" w:w="2500"/>
            <w:shd w:fill="F3F5F7"/>
            <w:vAlign w:val="center"/>
          </w:tcPr>
          <w:p>
            <w:pPr>
              <w:spacing w:after="0"/>
            </w:pPr>
            <w:r>
              <w:rPr>
                <w:rFonts w:ascii="Arial" w:hAnsi="Arial"/>
                <w:b w:val="0"/>
                <w:i w:val="0"/>
                <w:color w:val="304154"/>
                <w:sz w:val="16"/>
              </w:rPr>
              <w:t>Active monitoring</w:t>
            </w:r>
          </w:p>
        </w:tc>
        <w:tc>
          <w:tcPr>
            <w:tcW w:type="dxa" w:w="6860"/>
            <w:shd w:fill="F3F5F7"/>
            <w:vAlign w:val="center"/>
          </w:tcPr>
          <w:p>
            <w:pPr>
              <w:spacing w:after="0"/>
            </w:pPr>
            <w:r>
              <w:rPr>
                <w:rFonts w:ascii="Arial" w:hAnsi="Arial"/>
                <w:b w:val="0"/>
                <w:i w:val="0"/>
                <w:color w:val="304154"/>
                <w:sz w:val="16"/>
              </w:rPr>
              <w:t>Credit approval is not permanent; triggers can require immediate reassessment.</w:t>
            </w:r>
          </w:p>
        </w:tc>
      </w:tr>
    </w:tbl>
    <w:p>
      <w:pPr>
        <w:spacing w:after="0"/>
      </w:pPr>
    </w:p>
    <w:p>
      <w:pPr>
        <w:pStyle w:val="Heading1"/>
      </w:pPr>
      <w:r>
        <w:t>3. Governance and Responsibilities</w:t>
      </w:r>
    </w:p>
    <w:tbl>
      <w:tblPr>
        <w:tblStyle w:val="TableGrid"/>
        <w:tblW w:type="dxa" w:w="9360"/>
        <w:jc w:val="left"/>
        <w:tblLayout w:type="fixed"/>
        <w:tblLook w:firstColumn="1" w:firstRow="1" w:lastColumn="0" w:lastRow="0" w:noHBand="0" w:noVBand="1" w:val="04A0"/>
        <w:tblInd w:w="120" w:type="dxa"/>
      </w:tblPr>
      <w:tblGrid>
        <w:gridCol w:w="2500"/>
        <w:gridCol w:w="6860"/>
      </w:tblGrid>
      <w:tr>
        <w:tc>
          <w:tcPr>
            <w:tcW w:type="dxa" w:w="2500"/>
            <w:shd w:fill="112740"/>
            <w:vAlign w:val="center"/>
          </w:tcPr>
          <w:p>
            <w:r>
              <w:rPr>
                <w:rFonts w:ascii="Arial" w:hAnsi="Arial"/>
                <w:b/>
                <w:i w:val="0"/>
                <w:color w:val="FFFFFF"/>
                <w:sz w:val="18"/>
              </w:rPr>
              <w:t>Role</w:t>
            </w:r>
          </w:p>
        </w:tc>
        <w:tc>
          <w:tcPr>
            <w:tcW w:type="dxa" w:w="6860"/>
            <w:shd w:fill="112740"/>
            <w:vAlign w:val="center"/>
          </w:tcPr>
          <w:p>
            <w:r>
              <w:rPr>
                <w:rFonts w:ascii="Arial" w:hAnsi="Arial"/>
                <w:b/>
                <w:i w:val="0"/>
                <w:color w:val="FFFFFF"/>
                <w:sz w:val="18"/>
              </w:rPr>
              <w:t>Responsibilities</w:t>
            </w:r>
          </w:p>
        </w:tc>
      </w:tr>
      <w:tr>
        <w:tc>
          <w:tcPr>
            <w:tcW w:type="dxa" w:w="2500"/>
            <w:vAlign w:val="center"/>
          </w:tcPr>
          <w:p>
            <w:pPr>
              <w:spacing w:after="0"/>
            </w:pPr>
            <w:r>
              <w:rPr>
                <w:rFonts w:ascii="Arial" w:hAnsi="Arial"/>
                <w:b w:val="0"/>
                <w:i w:val="0"/>
                <w:color w:val="304154"/>
                <w:sz w:val="17"/>
              </w:rPr>
              <w:t>Board / owner / CEO</w:t>
            </w:r>
          </w:p>
        </w:tc>
        <w:tc>
          <w:tcPr>
            <w:tcW w:type="dxa" w:w="6860"/>
            <w:vAlign w:val="center"/>
          </w:tcPr>
          <w:p>
            <w:pPr>
              <w:spacing w:after="0"/>
            </w:pPr>
            <w:r>
              <w:rPr>
                <w:rFonts w:ascii="Arial" w:hAnsi="Arial"/>
                <w:b w:val="0"/>
                <w:i w:val="0"/>
                <w:color w:val="304154"/>
                <w:sz w:val="17"/>
              </w:rPr>
              <w:t>Approve risk appetite, material exceptions, and exposures beyond executive authority.</w:t>
            </w:r>
          </w:p>
        </w:tc>
      </w:tr>
      <w:tr>
        <w:tc>
          <w:tcPr>
            <w:tcW w:type="dxa" w:w="2500"/>
            <w:shd w:fill="F3F5F7"/>
            <w:vAlign w:val="center"/>
          </w:tcPr>
          <w:p>
            <w:pPr>
              <w:spacing w:after="0"/>
            </w:pPr>
            <w:r>
              <w:rPr>
                <w:rFonts w:ascii="Arial" w:hAnsi="Arial"/>
                <w:b w:val="0"/>
                <w:i w:val="0"/>
                <w:color w:val="304154"/>
                <w:sz w:val="17"/>
              </w:rPr>
              <w:t>CFO / finance leader</w:t>
            </w:r>
          </w:p>
        </w:tc>
        <w:tc>
          <w:tcPr>
            <w:tcW w:type="dxa" w:w="6860"/>
            <w:shd w:fill="F3F5F7"/>
            <w:vAlign w:val="center"/>
          </w:tcPr>
          <w:p>
            <w:pPr>
              <w:spacing w:after="0"/>
            </w:pPr>
            <w:r>
              <w:rPr>
                <w:rFonts w:ascii="Arial" w:hAnsi="Arial"/>
                <w:b w:val="0"/>
                <w:i w:val="0"/>
                <w:color w:val="304154"/>
                <w:sz w:val="17"/>
              </w:rPr>
              <w:t>Own policy, authority framework, portfolio exposure, reserves, and escalation.</w:t>
            </w:r>
          </w:p>
        </w:tc>
      </w:tr>
      <w:tr>
        <w:tc>
          <w:tcPr>
            <w:tcW w:type="dxa" w:w="2500"/>
            <w:vAlign w:val="center"/>
          </w:tcPr>
          <w:p>
            <w:pPr>
              <w:spacing w:after="0"/>
            </w:pPr>
            <w:r>
              <w:rPr>
                <w:rFonts w:ascii="Arial" w:hAnsi="Arial"/>
                <w:b w:val="0"/>
                <w:i w:val="0"/>
                <w:color w:val="304154"/>
                <w:sz w:val="17"/>
              </w:rPr>
              <w:t>Credit manager</w:t>
            </w:r>
          </w:p>
        </w:tc>
        <w:tc>
          <w:tcPr>
            <w:tcW w:type="dxa" w:w="6860"/>
            <w:vAlign w:val="center"/>
          </w:tcPr>
          <w:p>
            <w:pPr>
              <w:spacing w:after="0"/>
            </w:pPr>
            <w:r>
              <w:rPr>
                <w:rFonts w:ascii="Arial" w:hAnsi="Arial"/>
                <w:b w:val="0"/>
                <w:i w:val="0"/>
                <w:color w:val="304154"/>
                <w:sz w:val="17"/>
              </w:rPr>
              <w:t>Perform reviews, assign risk ratings, recommend limits/terms, monitor triggers.</w:t>
            </w:r>
          </w:p>
        </w:tc>
      </w:tr>
      <w:tr>
        <w:tc>
          <w:tcPr>
            <w:tcW w:type="dxa" w:w="2500"/>
            <w:shd w:fill="F3F5F7"/>
            <w:vAlign w:val="center"/>
          </w:tcPr>
          <w:p>
            <w:pPr>
              <w:spacing w:after="0"/>
            </w:pPr>
            <w:r>
              <w:rPr>
                <w:rFonts w:ascii="Arial" w:hAnsi="Arial"/>
                <w:b w:val="0"/>
                <w:i w:val="0"/>
                <w:color w:val="304154"/>
                <w:sz w:val="17"/>
              </w:rPr>
              <w:t>Sales leadership</w:t>
            </w:r>
          </w:p>
        </w:tc>
        <w:tc>
          <w:tcPr>
            <w:tcW w:type="dxa" w:w="6860"/>
            <w:shd w:fill="F3F5F7"/>
            <w:vAlign w:val="center"/>
          </w:tcPr>
          <w:p>
            <w:pPr>
              <w:spacing w:after="0"/>
            </w:pPr>
            <w:r>
              <w:rPr>
                <w:rFonts w:ascii="Arial" w:hAnsi="Arial"/>
                <w:b w:val="0"/>
                <w:i w:val="0"/>
                <w:color w:val="304154"/>
                <w:sz w:val="17"/>
              </w:rPr>
              <w:t>Provide customer and commercial context; comply with approved limits and terms.</w:t>
            </w:r>
          </w:p>
        </w:tc>
      </w:tr>
      <w:tr>
        <w:tc>
          <w:tcPr>
            <w:tcW w:type="dxa" w:w="2500"/>
            <w:vAlign w:val="center"/>
          </w:tcPr>
          <w:p>
            <w:pPr>
              <w:spacing w:after="0"/>
            </w:pPr>
            <w:r>
              <w:rPr>
                <w:rFonts w:ascii="Arial" w:hAnsi="Arial"/>
                <w:b w:val="0"/>
                <w:i w:val="0"/>
                <w:color w:val="304154"/>
                <w:sz w:val="17"/>
              </w:rPr>
              <w:t>AR / collections</w:t>
            </w:r>
          </w:p>
        </w:tc>
        <w:tc>
          <w:tcPr>
            <w:tcW w:type="dxa" w:w="6860"/>
            <w:vAlign w:val="center"/>
          </w:tcPr>
          <w:p>
            <w:pPr>
              <w:spacing w:after="0"/>
            </w:pPr>
            <w:r>
              <w:rPr>
                <w:rFonts w:ascii="Arial" w:hAnsi="Arial"/>
                <w:b w:val="0"/>
                <w:i w:val="0"/>
                <w:color w:val="304154"/>
                <w:sz w:val="17"/>
              </w:rPr>
              <w:t>Maintain aging, payment behavior, promises, disputes, and escalation evidence.</w:t>
            </w:r>
          </w:p>
        </w:tc>
      </w:tr>
      <w:tr>
        <w:tc>
          <w:tcPr>
            <w:tcW w:type="dxa" w:w="2500"/>
            <w:shd w:fill="F3F5F7"/>
            <w:vAlign w:val="center"/>
          </w:tcPr>
          <w:p>
            <w:pPr>
              <w:spacing w:after="0"/>
            </w:pPr>
            <w:r>
              <w:rPr>
                <w:rFonts w:ascii="Arial" w:hAnsi="Arial"/>
                <w:b w:val="0"/>
                <w:i w:val="0"/>
                <w:color w:val="304154"/>
                <w:sz w:val="17"/>
              </w:rPr>
              <w:t>Operations / order management</w:t>
            </w:r>
          </w:p>
        </w:tc>
        <w:tc>
          <w:tcPr>
            <w:tcW w:type="dxa" w:w="6860"/>
            <w:shd w:fill="F3F5F7"/>
            <w:vAlign w:val="center"/>
          </w:tcPr>
          <w:p>
            <w:pPr>
              <w:spacing w:after="0"/>
            </w:pPr>
            <w:r>
              <w:rPr>
                <w:rFonts w:ascii="Arial" w:hAnsi="Arial"/>
                <w:b w:val="0"/>
                <w:i w:val="0"/>
                <w:color w:val="304154"/>
                <w:sz w:val="17"/>
              </w:rPr>
              <w:t>Enforce holds, deposits, milestones, and release controls.</w:t>
            </w:r>
          </w:p>
        </w:tc>
      </w:tr>
      <w:tr>
        <w:tc>
          <w:tcPr>
            <w:tcW w:type="dxa" w:w="2500"/>
            <w:vAlign w:val="center"/>
          </w:tcPr>
          <w:p>
            <w:pPr>
              <w:spacing w:after="0"/>
            </w:pPr>
            <w:r>
              <w:rPr>
                <w:rFonts w:ascii="Arial" w:hAnsi="Arial"/>
                <w:b w:val="0"/>
                <w:i w:val="0"/>
                <w:color w:val="304154"/>
                <w:sz w:val="17"/>
              </w:rPr>
              <w:t>Legal / advisers</w:t>
            </w:r>
          </w:p>
        </w:tc>
        <w:tc>
          <w:tcPr>
            <w:tcW w:type="dxa" w:w="6860"/>
            <w:vAlign w:val="center"/>
          </w:tcPr>
          <w:p>
            <w:pPr>
              <w:spacing w:after="0"/>
            </w:pPr>
            <w:r>
              <w:rPr>
                <w:rFonts w:ascii="Arial" w:hAnsi="Arial"/>
                <w:b w:val="0"/>
                <w:i w:val="0"/>
                <w:color w:val="304154"/>
                <w:sz w:val="17"/>
              </w:rPr>
              <w:t>Review guarantees, security, insolvency, formal recovery, and legal requirements.</w:t>
            </w:r>
          </w:p>
        </w:tc>
      </w:tr>
    </w:tbl>
    <w:p>
      <w:pPr>
        <w:spacing w:after="0"/>
      </w:pPr>
    </w:p>
    <w:p>
      <w:pPr>
        <w:pStyle w:val="Heading1"/>
      </w:pPr>
      <w:r>
        <w:t>4. Segregation and Authority</w:t>
      </w:r>
    </w:p>
    <w:p>
      <w:r>
        <w:t>No individual may originate a sale, approve an exceptional credit exposure, release a blocked order, and authorize a related credit/write-off without independent review consistent with the delegation of authority.</w:t>
      </w:r>
    </w:p>
    <w:tbl>
      <w:tblPr>
        <w:tblStyle w:val="TableGrid"/>
        <w:tblW w:type="dxa" w:w="9360"/>
        <w:jc w:val="left"/>
        <w:tblLayout w:type="fixed"/>
        <w:tblLook w:firstColumn="1" w:firstRow="1" w:lastColumn="0" w:lastRow="0" w:noHBand="0" w:noVBand="1" w:val="04A0"/>
        <w:tblInd w:w="120" w:type="dxa"/>
      </w:tblPr>
      <w:tblGrid>
        <w:gridCol w:w="3900"/>
        <w:gridCol w:w="5460"/>
      </w:tblGrid>
      <w:tr>
        <w:tc>
          <w:tcPr>
            <w:tcW w:type="dxa" w:w="3900"/>
            <w:shd w:fill="112740"/>
            <w:vAlign w:val="center"/>
          </w:tcPr>
          <w:p>
            <w:r>
              <w:rPr>
                <w:rFonts w:ascii="Arial" w:hAnsi="Arial"/>
                <w:b/>
                <w:i w:val="0"/>
                <w:color w:val="FFFFFF"/>
                <w:sz w:val="18"/>
              </w:rPr>
              <w:t>Decision</w:t>
            </w:r>
          </w:p>
        </w:tc>
        <w:tc>
          <w:tcPr>
            <w:tcW w:type="dxa" w:w="5460"/>
            <w:shd w:fill="112740"/>
            <w:vAlign w:val="center"/>
          </w:tcPr>
          <w:p>
            <w:r>
              <w:rPr>
                <w:rFonts w:ascii="Arial" w:hAnsi="Arial"/>
                <w:b/>
                <w:i w:val="0"/>
                <w:color w:val="FFFFFF"/>
                <w:sz w:val="18"/>
              </w:rPr>
              <w:t>Minimum authority</w:t>
            </w:r>
          </w:p>
        </w:tc>
      </w:tr>
      <w:tr>
        <w:tc>
          <w:tcPr>
            <w:tcW w:type="dxa" w:w="3900"/>
            <w:vAlign w:val="center"/>
          </w:tcPr>
          <w:p>
            <w:pPr>
              <w:spacing w:after="0"/>
            </w:pPr>
            <w:r>
              <w:rPr>
                <w:rFonts w:ascii="Arial" w:hAnsi="Arial"/>
                <w:b w:val="0"/>
                <w:i w:val="0"/>
                <w:color w:val="304154"/>
                <w:sz w:val="17"/>
              </w:rPr>
              <w:t>Standard limit within approved model</w:t>
            </w:r>
          </w:p>
        </w:tc>
        <w:tc>
          <w:tcPr>
            <w:tcW w:type="dxa" w:w="5460"/>
            <w:vAlign w:val="center"/>
          </w:tcPr>
          <w:p>
            <w:pPr>
              <w:spacing w:after="0"/>
            </w:pPr>
            <w:r>
              <w:rPr>
                <w:rFonts w:ascii="Arial" w:hAnsi="Arial"/>
                <w:b w:val="0"/>
                <w:i w:val="0"/>
                <w:color w:val="304154"/>
                <w:sz w:val="17"/>
              </w:rPr>
              <w:t>Credit manager or delegated approver</w:t>
            </w:r>
          </w:p>
        </w:tc>
      </w:tr>
      <w:tr>
        <w:tc>
          <w:tcPr>
            <w:tcW w:type="dxa" w:w="3900"/>
            <w:shd w:fill="F3F5F7"/>
            <w:vAlign w:val="center"/>
          </w:tcPr>
          <w:p>
            <w:pPr>
              <w:spacing w:after="0"/>
            </w:pPr>
            <w:r>
              <w:rPr>
                <w:rFonts w:ascii="Arial" w:hAnsi="Arial"/>
                <w:b w:val="0"/>
                <w:i w:val="0"/>
                <w:color w:val="304154"/>
                <w:sz w:val="17"/>
              </w:rPr>
              <w:t>Limit/terms outside model</w:t>
            </w:r>
          </w:p>
        </w:tc>
        <w:tc>
          <w:tcPr>
            <w:tcW w:type="dxa" w:w="5460"/>
            <w:shd w:fill="F3F5F7"/>
            <w:vAlign w:val="center"/>
          </w:tcPr>
          <w:p>
            <w:pPr>
              <w:spacing w:after="0"/>
            </w:pPr>
            <w:r>
              <w:rPr>
                <w:rFonts w:ascii="Arial" w:hAnsi="Arial"/>
                <w:b w:val="0"/>
                <w:i w:val="0"/>
                <w:color w:val="304154"/>
                <w:sz w:val="17"/>
              </w:rPr>
              <w:t>Finance leader</w:t>
            </w:r>
          </w:p>
        </w:tc>
      </w:tr>
      <w:tr>
        <w:tc>
          <w:tcPr>
            <w:tcW w:type="dxa" w:w="3900"/>
            <w:vAlign w:val="center"/>
          </w:tcPr>
          <w:p>
            <w:pPr>
              <w:spacing w:after="0"/>
            </w:pPr>
            <w:r>
              <w:rPr>
                <w:rFonts w:ascii="Arial" w:hAnsi="Arial"/>
                <w:b w:val="0"/>
                <w:i w:val="0"/>
                <w:color w:val="304154"/>
                <w:sz w:val="17"/>
              </w:rPr>
              <w:t>Material concentration or unsecured exception</w:t>
            </w:r>
          </w:p>
        </w:tc>
        <w:tc>
          <w:tcPr>
            <w:tcW w:type="dxa" w:w="5460"/>
            <w:vAlign w:val="center"/>
          </w:tcPr>
          <w:p>
            <w:pPr>
              <w:spacing w:after="0"/>
            </w:pPr>
            <w:r>
              <w:rPr>
                <w:rFonts w:ascii="Arial" w:hAnsi="Arial"/>
                <w:b w:val="0"/>
                <w:i w:val="0"/>
                <w:color w:val="304154"/>
                <w:sz w:val="17"/>
              </w:rPr>
              <w:t>CFO / CEO</w:t>
            </w:r>
          </w:p>
        </w:tc>
      </w:tr>
      <w:tr>
        <w:tc>
          <w:tcPr>
            <w:tcW w:type="dxa" w:w="3900"/>
            <w:shd w:fill="F3F5F7"/>
            <w:vAlign w:val="center"/>
          </w:tcPr>
          <w:p>
            <w:pPr>
              <w:spacing w:after="0"/>
            </w:pPr>
            <w:r>
              <w:rPr>
                <w:rFonts w:ascii="Arial" w:hAnsi="Arial"/>
                <w:b w:val="0"/>
                <w:i w:val="0"/>
                <w:color w:val="304154"/>
                <w:sz w:val="17"/>
              </w:rPr>
              <w:t>Related-party or conflict-sensitive credit</w:t>
            </w:r>
          </w:p>
        </w:tc>
        <w:tc>
          <w:tcPr>
            <w:tcW w:type="dxa" w:w="5460"/>
            <w:shd w:fill="F3F5F7"/>
            <w:vAlign w:val="center"/>
          </w:tcPr>
          <w:p>
            <w:pPr>
              <w:spacing w:after="0"/>
            </w:pPr>
            <w:r>
              <w:rPr>
                <w:rFonts w:ascii="Arial" w:hAnsi="Arial"/>
                <w:b w:val="0"/>
                <w:i w:val="0"/>
                <w:color w:val="304154"/>
                <w:sz w:val="17"/>
              </w:rPr>
              <w:t>Independent executive / governance review</w:t>
            </w:r>
          </w:p>
        </w:tc>
      </w:tr>
      <w:tr>
        <w:tc>
          <w:tcPr>
            <w:tcW w:type="dxa" w:w="3900"/>
            <w:vAlign w:val="center"/>
          </w:tcPr>
          <w:p>
            <w:pPr>
              <w:spacing w:after="0"/>
            </w:pPr>
            <w:r>
              <w:rPr>
                <w:rFonts w:ascii="Arial" w:hAnsi="Arial"/>
                <w:b w:val="0"/>
                <w:i w:val="0"/>
                <w:color w:val="304154"/>
                <w:sz w:val="17"/>
              </w:rPr>
              <w:t>Write-off, settlement, legal referral</w:t>
            </w:r>
          </w:p>
        </w:tc>
        <w:tc>
          <w:tcPr>
            <w:tcW w:type="dxa" w:w="5460"/>
            <w:vAlign w:val="center"/>
          </w:tcPr>
          <w:p>
            <w:pPr>
              <w:spacing w:after="0"/>
            </w:pPr>
            <w:r>
              <w:rPr>
                <w:rFonts w:ascii="Arial" w:hAnsi="Arial"/>
                <w:b w:val="0"/>
                <w:i w:val="0"/>
                <w:color w:val="304154"/>
                <w:sz w:val="17"/>
              </w:rPr>
              <w:t>Per separate financial and legal authority</w:t>
            </w:r>
          </w:p>
        </w:tc>
      </w:tr>
      <w:tr>
        <w:tc>
          <w:tcPr>
            <w:tcW w:type="dxa" w:w="3900"/>
            <w:shd w:fill="F3F5F7"/>
            <w:vAlign w:val="center"/>
          </w:tcPr>
          <w:p>
            <w:pPr>
              <w:spacing w:after="0"/>
            </w:pPr>
            <w:r>
              <w:rPr>
                <w:rFonts w:ascii="Arial" w:hAnsi="Arial"/>
                <w:b w:val="0"/>
                <w:i w:val="0"/>
                <w:color w:val="304154"/>
                <w:sz w:val="17"/>
              </w:rPr>
              <w:t>Override of hold or expired approval</w:t>
            </w:r>
          </w:p>
        </w:tc>
        <w:tc>
          <w:tcPr>
            <w:tcW w:type="dxa" w:w="5460"/>
            <w:shd w:fill="F3F5F7"/>
            <w:vAlign w:val="center"/>
          </w:tcPr>
          <w:p>
            <w:pPr>
              <w:spacing w:after="0"/>
            </w:pPr>
            <w:r>
              <w:rPr>
                <w:rFonts w:ascii="Arial" w:hAnsi="Arial"/>
                <w:b w:val="0"/>
                <w:i w:val="0"/>
                <w:color w:val="304154"/>
                <w:sz w:val="17"/>
              </w:rPr>
              <w:t>Authorized approver with documented expiry</w:t>
            </w:r>
          </w:p>
        </w:tc>
      </w:tr>
    </w:tbl>
    <w:p>
      <w:pPr>
        <w:spacing w:after="0"/>
      </w:pPr>
    </w:p>
    <w:p>
      <w:pPr>
        <w:pStyle w:val="Heading1"/>
      </w:pPr>
      <w:r>
        <w:t>5. Required Credit Application and Evidence</w:t>
      </w:r>
    </w:p>
    <w:tbl>
      <w:tblPr>
        <w:tblStyle w:val="TableGrid"/>
        <w:tblW w:type="dxa" w:w="9360"/>
        <w:jc w:val="left"/>
        <w:tblLayout w:type="fixed"/>
        <w:tblLook w:firstColumn="1" w:firstRow="1" w:lastColumn="0" w:lastRow="0" w:noHBand="0" w:noVBand="1" w:val="04A0"/>
        <w:tblInd w:w="120" w:type="dxa"/>
      </w:tblPr>
      <w:tblGrid>
        <w:gridCol w:w="900"/>
        <w:gridCol w:w="8460"/>
      </w:tblGrid>
      <w:tr>
        <w:tc>
          <w:tcPr>
            <w:tcW w:type="dxa" w:w="900"/>
            <w:shd w:fill="112740"/>
            <w:vAlign w:val="center"/>
          </w:tcPr>
          <w:p>
            <w:r>
              <w:rPr>
                <w:rFonts w:ascii="Arial" w:hAnsi="Arial"/>
                <w:b/>
                <w:i w:val="0"/>
                <w:color w:val="FFFFFF"/>
                <w:sz w:val="18"/>
              </w:rPr>
              <w:t>Complete</w:t>
            </w:r>
          </w:p>
        </w:tc>
        <w:tc>
          <w:tcPr>
            <w:tcW w:type="dxa" w:w="8460"/>
            <w:shd w:fill="112740"/>
            <w:vAlign w:val="center"/>
          </w:tcPr>
          <w:p>
            <w:r>
              <w:rPr>
                <w:rFonts w:ascii="Arial" w:hAnsi="Arial"/>
                <w:b/>
                <w:i w:val="0"/>
                <w:color w:val="FFFFFF"/>
                <w:sz w:val="18"/>
              </w:rPr>
              <w:t>Requirement</w:t>
            </w:r>
          </w:p>
        </w:tc>
      </w:tr>
      <w:tr>
        <w:tc>
          <w:tcPr>
            <w:tcW w:type="dxa" w:w="900"/>
            <w:vAlign w:val="center"/>
          </w:tcPr>
          <w:p>
            <w:pPr>
              <w:spacing w:after="0"/>
            </w:pPr>
            <w:r>
              <w:rPr>
                <w:rFonts w:ascii="Arial" w:hAnsi="Arial"/>
                <w:b w:val="0"/>
                <w:i w:val="0"/>
                <w:color w:val="304154"/>
                <w:sz w:val="16"/>
              </w:rPr>
              <w:t>☐</w:t>
            </w:r>
          </w:p>
        </w:tc>
        <w:tc>
          <w:tcPr>
            <w:tcW w:type="dxa" w:w="8460"/>
            <w:vAlign w:val="center"/>
          </w:tcPr>
          <w:p>
            <w:pPr>
              <w:spacing w:after="0"/>
            </w:pPr>
            <w:r>
              <w:rPr>
                <w:rFonts w:ascii="Arial" w:hAnsi="Arial"/>
                <w:b w:val="0"/>
                <w:i w:val="0"/>
                <w:color w:val="304154"/>
                <w:sz w:val="16"/>
              </w:rPr>
              <w:t>Legal name, address, registration/tax identity, ownership, and authorized contacts</w:t>
            </w:r>
          </w:p>
        </w:tc>
      </w:tr>
      <w:tr>
        <w:tc>
          <w:tcPr>
            <w:tcW w:type="dxa" w:w="900"/>
            <w:shd w:fill="F3F5F7"/>
            <w:vAlign w:val="center"/>
          </w:tcPr>
          <w:p>
            <w:pPr>
              <w:spacing w:after="0"/>
            </w:pPr>
            <w:r>
              <w:rPr>
                <w:rFonts w:ascii="Arial" w:hAnsi="Arial"/>
                <w:b w:val="0"/>
                <w:i w:val="0"/>
                <w:color w:val="304154"/>
                <w:sz w:val="16"/>
              </w:rPr>
              <w:t>☐</w:t>
            </w:r>
          </w:p>
        </w:tc>
        <w:tc>
          <w:tcPr>
            <w:tcW w:type="dxa" w:w="8460"/>
            <w:shd w:fill="F3F5F7"/>
            <w:vAlign w:val="center"/>
          </w:tcPr>
          <w:p>
            <w:pPr>
              <w:spacing w:after="0"/>
            </w:pPr>
            <w:r>
              <w:rPr>
                <w:rFonts w:ascii="Arial" w:hAnsi="Arial"/>
                <w:b w:val="0"/>
                <w:i w:val="0"/>
                <w:color w:val="304154"/>
                <w:sz w:val="16"/>
              </w:rPr>
              <w:t>Requested limit, terms, expected volume, products/services, and seasonality</w:t>
            </w:r>
          </w:p>
        </w:tc>
      </w:tr>
      <w:tr>
        <w:tc>
          <w:tcPr>
            <w:tcW w:type="dxa" w:w="900"/>
            <w:vAlign w:val="center"/>
          </w:tcPr>
          <w:p>
            <w:pPr>
              <w:spacing w:after="0"/>
            </w:pPr>
            <w:r>
              <w:rPr>
                <w:rFonts w:ascii="Arial" w:hAnsi="Arial"/>
                <w:b w:val="0"/>
                <w:i w:val="0"/>
                <w:color w:val="304154"/>
                <w:sz w:val="16"/>
              </w:rPr>
              <w:t>☐</w:t>
            </w:r>
          </w:p>
        </w:tc>
        <w:tc>
          <w:tcPr>
            <w:tcW w:type="dxa" w:w="8460"/>
            <w:vAlign w:val="center"/>
          </w:tcPr>
          <w:p>
            <w:pPr>
              <w:spacing w:after="0"/>
            </w:pPr>
            <w:r>
              <w:rPr>
                <w:rFonts w:ascii="Arial" w:hAnsi="Arial"/>
                <w:b w:val="0"/>
                <w:i w:val="0"/>
                <w:color w:val="304154"/>
                <w:sz w:val="16"/>
              </w:rPr>
              <w:t>Trade and bank references where lawful and appropriate</w:t>
            </w:r>
          </w:p>
        </w:tc>
      </w:tr>
      <w:tr>
        <w:tc>
          <w:tcPr>
            <w:tcW w:type="dxa" w:w="900"/>
            <w:shd w:fill="F3F5F7"/>
            <w:vAlign w:val="center"/>
          </w:tcPr>
          <w:p>
            <w:pPr>
              <w:spacing w:after="0"/>
            </w:pPr>
            <w:r>
              <w:rPr>
                <w:rFonts w:ascii="Arial" w:hAnsi="Arial"/>
                <w:b w:val="0"/>
                <w:i w:val="0"/>
                <w:color w:val="304154"/>
                <w:sz w:val="16"/>
              </w:rPr>
              <w:t>☐</w:t>
            </w:r>
          </w:p>
        </w:tc>
        <w:tc>
          <w:tcPr>
            <w:tcW w:type="dxa" w:w="8460"/>
            <w:shd w:fill="F3F5F7"/>
            <w:vAlign w:val="center"/>
          </w:tcPr>
          <w:p>
            <w:pPr>
              <w:spacing w:after="0"/>
            </w:pPr>
            <w:r>
              <w:rPr>
                <w:rFonts w:ascii="Arial" w:hAnsi="Arial"/>
                <w:b w:val="0"/>
                <w:i w:val="0"/>
                <w:color w:val="304154"/>
                <w:sz w:val="16"/>
              </w:rPr>
              <w:t>Current financial statements or other capacity evidence for material exposure</w:t>
            </w:r>
          </w:p>
        </w:tc>
      </w:tr>
      <w:tr>
        <w:tc>
          <w:tcPr>
            <w:tcW w:type="dxa" w:w="900"/>
            <w:vAlign w:val="center"/>
          </w:tcPr>
          <w:p>
            <w:pPr>
              <w:spacing w:after="0"/>
            </w:pPr>
            <w:r>
              <w:rPr>
                <w:rFonts w:ascii="Arial" w:hAnsi="Arial"/>
                <w:b w:val="0"/>
                <w:i w:val="0"/>
                <w:color w:val="304154"/>
                <w:sz w:val="16"/>
              </w:rPr>
              <w:t>☐</w:t>
            </w:r>
          </w:p>
        </w:tc>
        <w:tc>
          <w:tcPr>
            <w:tcW w:type="dxa" w:w="8460"/>
            <w:vAlign w:val="center"/>
          </w:tcPr>
          <w:p>
            <w:pPr>
              <w:spacing w:after="0"/>
            </w:pPr>
            <w:r>
              <w:rPr>
                <w:rFonts w:ascii="Arial" w:hAnsi="Arial"/>
                <w:b w:val="0"/>
                <w:i w:val="0"/>
                <w:color w:val="304154"/>
                <w:sz w:val="16"/>
              </w:rPr>
              <w:t>External credit information with source and date</w:t>
            </w:r>
          </w:p>
        </w:tc>
      </w:tr>
      <w:tr>
        <w:tc>
          <w:tcPr>
            <w:tcW w:type="dxa" w:w="900"/>
            <w:shd w:fill="F3F5F7"/>
            <w:vAlign w:val="center"/>
          </w:tcPr>
          <w:p>
            <w:pPr>
              <w:spacing w:after="0"/>
            </w:pPr>
            <w:r>
              <w:rPr>
                <w:rFonts w:ascii="Arial" w:hAnsi="Arial"/>
                <w:b w:val="0"/>
                <w:i w:val="0"/>
                <w:color w:val="304154"/>
                <w:sz w:val="16"/>
              </w:rPr>
              <w:t>☐</w:t>
            </w:r>
          </w:p>
        </w:tc>
        <w:tc>
          <w:tcPr>
            <w:tcW w:type="dxa" w:w="8460"/>
            <w:shd w:fill="F3F5F7"/>
            <w:vAlign w:val="center"/>
          </w:tcPr>
          <w:p>
            <w:pPr>
              <w:spacing w:after="0"/>
            </w:pPr>
            <w:r>
              <w:rPr>
                <w:rFonts w:ascii="Arial" w:hAnsi="Arial"/>
                <w:b w:val="0"/>
                <w:i w:val="0"/>
                <w:color w:val="304154"/>
                <w:sz w:val="16"/>
              </w:rPr>
              <w:t>Payment history, disputes, write-offs, liens, judgments, or insolvency indicators</w:t>
            </w:r>
          </w:p>
        </w:tc>
      </w:tr>
      <w:tr>
        <w:tc>
          <w:tcPr>
            <w:tcW w:type="dxa" w:w="900"/>
            <w:vAlign w:val="center"/>
          </w:tcPr>
          <w:p>
            <w:pPr>
              <w:spacing w:after="0"/>
            </w:pPr>
            <w:r>
              <w:rPr>
                <w:rFonts w:ascii="Arial" w:hAnsi="Arial"/>
                <w:b w:val="0"/>
                <w:i w:val="0"/>
                <w:color w:val="304154"/>
                <w:sz w:val="16"/>
              </w:rPr>
              <w:t>☐</w:t>
            </w:r>
          </w:p>
        </w:tc>
        <w:tc>
          <w:tcPr>
            <w:tcW w:type="dxa" w:w="8460"/>
            <w:vAlign w:val="center"/>
          </w:tcPr>
          <w:p>
            <w:pPr>
              <w:spacing w:after="0"/>
            </w:pPr>
            <w:r>
              <w:rPr>
                <w:rFonts w:ascii="Arial" w:hAnsi="Arial"/>
                <w:b w:val="0"/>
                <w:i w:val="0"/>
                <w:color w:val="304154"/>
                <w:sz w:val="16"/>
              </w:rPr>
              <w:t>Parent guarantee, personal guarantee, deposit, security, insurance, or other risk mitigation</w:t>
            </w:r>
          </w:p>
        </w:tc>
      </w:tr>
      <w:tr>
        <w:tc>
          <w:tcPr>
            <w:tcW w:type="dxa" w:w="900"/>
            <w:shd w:fill="F3F5F7"/>
            <w:vAlign w:val="center"/>
          </w:tcPr>
          <w:p>
            <w:pPr>
              <w:spacing w:after="0"/>
            </w:pPr>
            <w:r>
              <w:rPr>
                <w:rFonts w:ascii="Arial" w:hAnsi="Arial"/>
                <w:b w:val="0"/>
                <w:i w:val="0"/>
                <w:color w:val="304154"/>
                <w:sz w:val="16"/>
              </w:rPr>
              <w:t>☐</w:t>
            </w:r>
          </w:p>
        </w:tc>
        <w:tc>
          <w:tcPr>
            <w:tcW w:type="dxa" w:w="8460"/>
            <w:shd w:fill="F3F5F7"/>
            <w:vAlign w:val="center"/>
          </w:tcPr>
          <w:p>
            <w:pPr>
              <w:spacing w:after="0"/>
            </w:pPr>
            <w:r>
              <w:rPr>
                <w:rFonts w:ascii="Arial" w:hAnsi="Arial"/>
                <w:b w:val="0"/>
                <w:i w:val="0"/>
                <w:color w:val="304154"/>
                <w:sz w:val="16"/>
              </w:rPr>
              <w:t>Concentration, country, currency, industry, and strategic dependency</w:t>
            </w:r>
          </w:p>
        </w:tc>
      </w:tr>
      <w:tr>
        <w:tc>
          <w:tcPr>
            <w:tcW w:type="dxa" w:w="900"/>
            <w:vAlign w:val="center"/>
          </w:tcPr>
          <w:p>
            <w:pPr>
              <w:spacing w:after="0"/>
            </w:pPr>
            <w:r>
              <w:rPr>
                <w:rFonts w:ascii="Arial" w:hAnsi="Arial"/>
                <w:b w:val="0"/>
                <w:i w:val="0"/>
                <w:color w:val="304154"/>
                <w:sz w:val="16"/>
              </w:rPr>
              <w:t>☐</w:t>
            </w:r>
          </w:p>
        </w:tc>
        <w:tc>
          <w:tcPr>
            <w:tcW w:type="dxa" w:w="8460"/>
            <w:vAlign w:val="center"/>
          </w:tcPr>
          <w:p>
            <w:pPr>
              <w:spacing w:after="0"/>
            </w:pPr>
            <w:r>
              <w:rPr>
                <w:rFonts w:ascii="Arial" w:hAnsi="Arial"/>
                <w:b w:val="0"/>
                <w:i w:val="0"/>
                <w:color w:val="304154"/>
                <w:sz w:val="16"/>
              </w:rPr>
              <w:t>Credit score, risk band, recommendation, approval, expiry, and monitoring requirements</w:t>
            </w:r>
          </w:p>
        </w:tc>
      </w:tr>
    </w:tbl>
    <w:p>
      <w:pPr>
        <w:spacing w:after="0"/>
      </w:pPr>
    </w:p>
    <w:p>
      <w:pPr>
        <w:pStyle w:val="Heading1"/>
      </w:pPr>
      <w:r>
        <w:t>6. Credit Scoring and Risk Bands</w:t>
      </w:r>
    </w:p>
    <w:tbl>
      <w:tblPr>
        <w:tblStyle w:val="TableGrid"/>
        <w:tblW w:type="dxa" w:w="9360"/>
        <w:jc w:val="left"/>
        <w:tblLayout w:type="fixed"/>
        <w:tblLook w:firstColumn="1" w:firstRow="1" w:lastColumn="0" w:lastRow="0" w:noHBand="0" w:noVBand="1" w:val="04A0"/>
        <w:tblInd w:w="120" w:type="dxa"/>
      </w:tblPr>
      <w:tblGrid>
        <w:gridCol w:w="1400"/>
        <w:gridCol w:w="1600"/>
        <w:gridCol w:w="4500"/>
        <w:gridCol w:w="1860"/>
      </w:tblGrid>
      <w:tr>
        <w:tc>
          <w:tcPr>
            <w:tcW w:type="dxa" w:w="1400"/>
            <w:shd w:fill="112740"/>
            <w:vAlign w:val="center"/>
          </w:tcPr>
          <w:p>
            <w:r>
              <w:rPr>
                <w:rFonts w:ascii="Arial" w:hAnsi="Arial"/>
                <w:b/>
                <w:i w:val="0"/>
                <w:color w:val="FFFFFF"/>
                <w:sz w:val="18"/>
              </w:rPr>
              <w:t>Band</w:t>
            </w:r>
          </w:p>
        </w:tc>
        <w:tc>
          <w:tcPr>
            <w:tcW w:type="dxa" w:w="1600"/>
            <w:shd w:fill="112740"/>
            <w:vAlign w:val="center"/>
          </w:tcPr>
          <w:p>
            <w:r>
              <w:rPr>
                <w:rFonts w:ascii="Arial" w:hAnsi="Arial"/>
                <w:b/>
                <w:i w:val="0"/>
                <w:color w:val="FFFFFF"/>
                <w:sz w:val="18"/>
              </w:rPr>
              <w:t>Indicative score</w:t>
            </w:r>
          </w:p>
        </w:tc>
        <w:tc>
          <w:tcPr>
            <w:tcW w:type="dxa" w:w="4500"/>
            <w:shd w:fill="112740"/>
            <w:vAlign w:val="center"/>
          </w:tcPr>
          <w:p>
            <w:r>
              <w:rPr>
                <w:rFonts w:ascii="Arial" w:hAnsi="Arial"/>
                <w:b/>
                <w:i w:val="0"/>
                <w:color w:val="FFFFFF"/>
                <w:sz w:val="18"/>
              </w:rPr>
              <w:t>Typical treatment</w:t>
            </w:r>
          </w:p>
        </w:tc>
        <w:tc>
          <w:tcPr>
            <w:tcW w:type="dxa" w:w="1860"/>
            <w:shd w:fill="112740"/>
            <w:vAlign w:val="center"/>
          </w:tcPr>
          <w:p>
            <w:r>
              <w:rPr>
                <w:rFonts w:ascii="Arial" w:hAnsi="Arial"/>
                <w:b/>
                <w:i w:val="0"/>
                <w:color w:val="FFFFFF"/>
                <w:sz w:val="18"/>
              </w:rPr>
              <w:t>Review</w:t>
            </w:r>
          </w:p>
        </w:tc>
      </w:tr>
      <w:tr>
        <w:tc>
          <w:tcPr>
            <w:tcW w:type="dxa" w:w="1400"/>
            <w:vAlign w:val="center"/>
          </w:tcPr>
          <w:p>
            <w:pPr>
              <w:spacing w:after="0"/>
            </w:pPr>
            <w:r>
              <w:rPr>
                <w:rFonts w:ascii="Arial" w:hAnsi="Arial"/>
                <w:b w:val="0"/>
                <w:i w:val="0"/>
                <w:color w:val="304154"/>
                <w:sz w:val="16"/>
              </w:rPr>
              <w:t>Low</w:t>
            </w:r>
          </w:p>
        </w:tc>
        <w:tc>
          <w:tcPr>
            <w:tcW w:type="dxa" w:w="1600"/>
            <w:vAlign w:val="center"/>
          </w:tcPr>
          <w:p>
            <w:pPr>
              <w:spacing w:after="0"/>
            </w:pPr>
            <w:r>
              <w:rPr>
                <w:rFonts w:ascii="Arial" w:hAnsi="Arial"/>
                <w:b w:val="0"/>
                <w:i w:val="0"/>
                <w:color w:val="304154"/>
                <w:sz w:val="16"/>
              </w:rPr>
              <w:t>80–100</w:t>
            </w:r>
          </w:p>
        </w:tc>
        <w:tc>
          <w:tcPr>
            <w:tcW w:type="dxa" w:w="4500"/>
            <w:vAlign w:val="center"/>
          </w:tcPr>
          <w:p>
            <w:pPr>
              <w:spacing w:after="0"/>
            </w:pPr>
            <w:r>
              <w:rPr>
                <w:rFonts w:ascii="Arial" w:hAnsi="Arial"/>
                <w:b w:val="0"/>
                <w:i w:val="0"/>
                <w:color w:val="304154"/>
                <w:sz w:val="16"/>
              </w:rPr>
              <w:t>Standard approved terms/limit; routine monitoring</w:t>
            </w:r>
          </w:p>
        </w:tc>
        <w:tc>
          <w:tcPr>
            <w:tcW w:type="dxa" w:w="1860"/>
            <w:vAlign w:val="center"/>
          </w:tcPr>
          <w:p>
            <w:pPr>
              <w:spacing w:after="0"/>
            </w:pPr>
            <w:r>
              <w:rPr>
                <w:rFonts w:ascii="Arial" w:hAnsi="Arial"/>
                <w:b w:val="0"/>
                <w:i w:val="0"/>
                <w:color w:val="304154"/>
                <w:sz w:val="16"/>
              </w:rPr>
              <w:t>Annual</w:t>
            </w:r>
          </w:p>
        </w:tc>
      </w:tr>
      <w:tr>
        <w:tc>
          <w:tcPr>
            <w:tcW w:type="dxa" w:w="1400"/>
            <w:shd w:fill="F3F5F7"/>
            <w:vAlign w:val="center"/>
          </w:tcPr>
          <w:p>
            <w:pPr>
              <w:spacing w:after="0"/>
            </w:pPr>
            <w:r>
              <w:rPr>
                <w:rFonts w:ascii="Arial" w:hAnsi="Arial"/>
                <w:b w:val="0"/>
                <w:i w:val="0"/>
                <w:color w:val="304154"/>
                <w:sz w:val="16"/>
              </w:rPr>
              <w:t>Moderate</w:t>
            </w:r>
          </w:p>
        </w:tc>
        <w:tc>
          <w:tcPr>
            <w:tcW w:type="dxa" w:w="1600"/>
            <w:shd w:fill="F3F5F7"/>
            <w:vAlign w:val="center"/>
          </w:tcPr>
          <w:p>
            <w:pPr>
              <w:spacing w:after="0"/>
            </w:pPr>
            <w:r>
              <w:rPr>
                <w:rFonts w:ascii="Arial" w:hAnsi="Arial"/>
                <w:b w:val="0"/>
                <w:i w:val="0"/>
                <w:color w:val="304154"/>
                <w:sz w:val="16"/>
              </w:rPr>
              <w:t>65–79</w:t>
            </w:r>
          </w:p>
        </w:tc>
        <w:tc>
          <w:tcPr>
            <w:tcW w:type="dxa" w:w="4500"/>
            <w:shd w:fill="F3F5F7"/>
            <w:vAlign w:val="center"/>
          </w:tcPr>
          <w:p>
            <w:pPr>
              <w:spacing w:after="0"/>
            </w:pPr>
            <w:r>
              <w:rPr>
                <w:rFonts w:ascii="Arial" w:hAnsi="Arial"/>
                <w:b w:val="0"/>
                <w:i w:val="0"/>
                <w:color w:val="304154"/>
                <w:sz w:val="16"/>
              </w:rPr>
              <w:t>Controlled limit; enhanced monitoring or documentation</w:t>
            </w:r>
          </w:p>
        </w:tc>
        <w:tc>
          <w:tcPr>
            <w:tcW w:type="dxa" w:w="1860"/>
            <w:shd w:fill="F3F5F7"/>
            <w:vAlign w:val="center"/>
          </w:tcPr>
          <w:p>
            <w:pPr>
              <w:spacing w:after="0"/>
            </w:pPr>
            <w:r>
              <w:rPr>
                <w:rFonts w:ascii="Arial" w:hAnsi="Arial"/>
                <w:b w:val="0"/>
                <w:i w:val="0"/>
                <w:color w:val="304154"/>
                <w:sz w:val="16"/>
              </w:rPr>
              <w:t>Semiannual</w:t>
            </w:r>
          </w:p>
        </w:tc>
      </w:tr>
      <w:tr>
        <w:tc>
          <w:tcPr>
            <w:tcW w:type="dxa" w:w="1400"/>
            <w:vAlign w:val="center"/>
          </w:tcPr>
          <w:p>
            <w:pPr>
              <w:spacing w:after="0"/>
            </w:pPr>
            <w:r>
              <w:rPr>
                <w:rFonts w:ascii="Arial" w:hAnsi="Arial"/>
                <w:b w:val="0"/>
                <w:i w:val="0"/>
                <w:color w:val="304154"/>
                <w:sz w:val="16"/>
              </w:rPr>
              <w:t>Elevated</w:t>
            </w:r>
          </w:p>
        </w:tc>
        <w:tc>
          <w:tcPr>
            <w:tcW w:type="dxa" w:w="1600"/>
            <w:vAlign w:val="center"/>
          </w:tcPr>
          <w:p>
            <w:pPr>
              <w:spacing w:after="0"/>
            </w:pPr>
            <w:r>
              <w:rPr>
                <w:rFonts w:ascii="Arial" w:hAnsi="Arial"/>
                <w:b w:val="0"/>
                <w:i w:val="0"/>
                <w:color w:val="304154"/>
                <w:sz w:val="16"/>
              </w:rPr>
              <w:t>50–64</w:t>
            </w:r>
          </w:p>
        </w:tc>
        <w:tc>
          <w:tcPr>
            <w:tcW w:type="dxa" w:w="4500"/>
            <w:vAlign w:val="center"/>
          </w:tcPr>
          <w:p>
            <w:pPr>
              <w:spacing w:after="0"/>
            </w:pPr>
            <w:r>
              <w:rPr>
                <w:rFonts w:ascii="Arial" w:hAnsi="Arial"/>
                <w:b w:val="0"/>
                <w:i w:val="0"/>
                <w:color w:val="304154"/>
                <w:sz w:val="16"/>
              </w:rPr>
              <w:t>Reduced limit, deposit, milestones, security, or tighter terms</w:t>
            </w:r>
          </w:p>
        </w:tc>
        <w:tc>
          <w:tcPr>
            <w:tcW w:type="dxa" w:w="1860"/>
            <w:vAlign w:val="center"/>
          </w:tcPr>
          <w:p>
            <w:pPr>
              <w:spacing w:after="0"/>
            </w:pPr>
            <w:r>
              <w:rPr>
                <w:rFonts w:ascii="Arial" w:hAnsi="Arial"/>
                <w:b w:val="0"/>
                <w:i w:val="0"/>
                <w:color w:val="304154"/>
                <w:sz w:val="16"/>
              </w:rPr>
              <w:t>Quarterly</w:t>
            </w:r>
          </w:p>
        </w:tc>
      </w:tr>
      <w:tr>
        <w:tc>
          <w:tcPr>
            <w:tcW w:type="dxa" w:w="1400"/>
            <w:shd w:fill="F3F5F7"/>
            <w:vAlign w:val="center"/>
          </w:tcPr>
          <w:p>
            <w:pPr>
              <w:spacing w:after="0"/>
            </w:pPr>
            <w:r>
              <w:rPr>
                <w:rFonts w:ascii="Arial" w:hAnsi="Arial"/>
                <w:b w:val="0"/>
                <w:i w:val="0"/>
                <w:color w:val="304154"/>
                <w:sz w:val="16"/>
              </w:rPr>
              <w:t>High</w:t>
            </w:r>
          </w:p>
        </w:tc>
        <w:tc>
          <w:tcPr>
            <w:tcW w:type="dxa" w:w="1600"/>
            <w:shd w:fill="F3F5F7"/>
            <w:vAlign w:val="center"/>
          </w:tcPr>
          <w:p>
            <w:pPr>
              <w:spacing w:after="0"/>
            </w:pPr>
            <w:r>
              <w:rPr>
                <w:rFonts w:ascii="Arial" w:hAnsi="Arial"/>
                <w:b w:val="0"/>
                <w:i w:val="0"/>
                <w:color w:val="304154"/>
                <w:sz w:val="16"/>
              </w:rPr>
              <w:t>Below 50</w:t>
            </w:r>
          </w:p>
        </w:tc>
        <w:tc>
          <w:tcPr>
            <w:tcW w:type="dxa" w:w="4500"/>
            <w:shd w:fill="F3F5F7"/>
            <w:vAlign w:val="center"/>
          </w:tcPr>
          <w:p>
            <w:pPr>
              <w:spacing w:after="0"/>
            </w:pPr>
            <w:r>
              <w:rPr>
                <w:rFonts w:ascii="Arial" w:hAnsi="Arial"/>
                <w:b w:val="0"/>
                <w:i w:val="0"/>
                <w:color w:val="304154"/>
                <w:sz w:val="16"/>
              </w:rPr>
              <w:t>Cash in advance, fully secured, executive exception, or decline</w:t>
            </w:r>
          </w:p>
        </w:tc>
        <w:tc>
          <w:tcPr>
            <w:tcW w:type="dxa" w:w="1860"/>
            <w:shd w:fill="F3F5F7"/>
            <w:vAlign w:val="center"/>
          </w:tcPr>
          <w:p>
            <w:pPr>
              <w:spacing w:after="0"/>
            </w:pPr>
            <w:r>
              <w:rPr>
                <w:rFonts w:ascii="Arial" w:hAnsi="Arial"/>
                <w:b w:val="0"/>
                <w:i w:val="0"/>
                <w:color w:val="304154"/>
                <w:sz w:val="16"/>
              </w:rPr>
              <w:t>Monthly / event-driven</w:t>
            </w:r>
          </w:p>
        </w:tc>
      </w:tr>
    </w:tbl>
    <w:p>
      <w:pPr>
        <w:spacing w:after="0"/>
      </w:pPr>
    </w:p>
    <w:tbl>
      <w:tblPr>
        <w:tblW w:type="dxa" w:w="9360"/>
        <w:jc w:val="left"/>
        <w:tblLayout w:type="fixed"/>
        <w:tblLook w:firstColumn="1" w:firstRow="1" w:lastColumn="0" w:lastRow="0" w:noHBand="0" w:noVBand="1" w:val="04A0"/>
        <w:tblInd w:w="120" w:type="dxa"/>
      </w:tblPr>
      <w:tblGrid>
        <w:gridCol w:w="9360"/>
      </w:tblGrid>
      <w:tr>
        <w:tc>
          <w:tcPr>
            <w:tcW w:type="dxa" w:w="9360"/>
            <w:vAlign w:val="center"/>
            <w:shd w:fill="FCE8E8"/>
          </w:tcPr>
          <w:p>
            <w:r>
              <w:rPr>
                <w:rFonts w:ascii="Arial" w:hAnsi="Arial"/>
                <w:b/>
                <w:i w:val="0"/>
                <w:color w:val="A52323"/>
                <w:sz w:val="19"/>
              </w:rPr>
              <w:t xml:space="preserve">SCORING CONTROL  </w:t>
            </w:r>
            <w:r>
              <w:rPr>
                <w:rFonts w:ascii="Arial" w:hAnsi="Arial"/>
                <w:b w:val="0"/>
                <w:i w:val="0"/>
                <w:color w:val="304154"/>
                <w:sz w:val="19"/>
              </w:rPr>
              <w:t>Scores guide—not replace—judgment. Missing evidence, fraud, insolvency, sanctions, legal prohibition, or unacceptable concentration may override the numeric result.</w:t>
            </w:r>
          </w:p>
        </w:tc>
      </w:tr>
    </w:tbl>
    <w:p>
      <w:pPr>
        <w:spacing w:after="0"/>
      </w:pPr>
    </w:p>
    <w:p>
      <w:pPr>
        <w:pStyle w:val="Heading1"/>
      </w:pPr>
      <w:r>
        <w:t>7. Limits, Terms, and Exposure</w:t>
      </w:r>
    </w:p>
    <w:tbl>
      <w:tblPr>
        <w:tblStyle w:val="TableGrid"/>
        <w:tblW w:type="dxa" w:w="9360"/>
        <w:jc w:val="left"/>
        <w:tblLayout w:type="fixed"/>
        <w:tblLook w:firstColumn="1" w:firstRow="1" w:lastColumn="0" w:lastRow="0" w:noHBand="0" w:noVBand="1" w:val="04A0"/>
        <w:tblInd w:w="120" w:type="dxa"/>
      </w:tblPr>
      <w:tblGrid>
        <w:gridCol w:w="2600"/>
        <w:gridCol w:w="6760"/>
      </w:tblGrid>
      <w:tr>
        <w:tc>
          <w:tcPr>
            <w:tcW w:type="dxa" w:w="2600"/>
            <w:shd w:fill="112740"/>
            <w:vAlign w:val="center"/>
          </w:tcPr>
          <w:p>
            <w:r>
              <w:rPr>
                <w:rFonts w:ascii="Arial" w:hAnsi="Arial"/>
                <w:b/>
                <w:i w:val="0"/>
                <w:color w:val="FFFFFF"/>
                <w:sz w:val="18"/>
              </w:rPr>
              <w:t>Control</w:t>
            </w:r>
          </w:p>
        </w:tc>
        <w:tc>
          <w:tcPr>
            <w:tcW w:type="dxa" w:w="6760"/>
            <w:shd w:fill="112740"/>
            <w:vAlign w:val="center"/>
          </w:tcPr>
          <w:p>
            <w:r>
              <w:rPr>
                <w:rFonts w:ascii="Arial" w:hAnsi="Arial"/>
                <w:b/>
                <w:i w:val="0"/>
                <w:color w:val="FFFFFF"/>
                <w:sz w:val="18"/>
              </w:rPr>
              <w:t>Policy requirement</w:t>
            </w:r>
          </w:p>
        </w:tc>
      </w:tr>
      <w:tr>
        <w:tc>
          <w:tcPr>
            <w:tcW w:type="dxa" w:w="2600"/>
            <w:vAlign w:val="center"/>
          </w:tcPr>
          <w:p>
            <w:pPr>
              <w:spacing w:after="0"/>
            </w:pPr>
            <w:r>
              <w:rPr>
                <w:rFonts w:ascii="Arial" w:hAnsi="Arial"/>
                <w:b w:val="0"/>
                <w:i w:val="0"/>
                <w:color w:val="304154"/>
                <w:sz w:val="16"/>
              </w:rPr>
              <w:t>Credit limit</w:t>
            </w:r>
          </w:p>
        </w:tc>
        <w:tc>
          <w:tcPr>
            <w:tcW w:type="dxa" w:w="6760"/>
            <w:vAlign w:val="center"/>
          </w:tcPr>
          <w:p>
            <w:pPr>
              <w:spacing w:after="0"/>
            </w:pPr>
            <w:r>
              <w:rPr>
                <w:rFonts w:ascii="Arial" w:hAnsi="Arial"/>
                <w:b w:val="0"/>
                <w:i w:val="0"/>
                <w:color w:val="304154"/>
                <w:sz w:val="16"/>
              </w:rPr>
              <w:t>Cap total approved unsecured exposure; include open orders and unbilled commitments where applicable.</w:t>
            </w:r>
          </w:p>
        </w:tc>
      </w:tr>
      <w:tr>
        <w:tc>
          <w:tcPr>
            <w:tcW w:type="dxa" w:w="2600"/>
            <w:shd w:fill="F3F5F7"/>
            <w:vAlign w:val="center"/>
          </w:tcPr>
          <w:p>
            <w:pPr>
              <w:spacing w:after="0"/>
            </w:pPr>
            <w:r>
              <w:rPr>
                <w:rFonts w:ascii="Arial" w:hAnsi="Arial"/>
                <w:b w:val="0"/>
                <w:i w:val="0"/>
                <w:color w:val="304154"/>
                <w:sz w:val="16"/>
              </w:rPr>
              <w:t>Payment terms</w:t>
            </w:r>
          </w:p>
        </w:tc>
        <w:tc>
          <w:tcPr>
            <w:tcW w:type="dxa" w:w="6760"/>
            <w:shd w:fill="F3F5F7"/>
            <w:vAlign w:val="center"/>
          </w:tcPr>
          <w:p>
            <w:pPr>
              <w:spacing w:after="0"/>
            </w:pPr>
            <w:r>
              <w:rPr>
                <w:rFonts w:ascii="Arial" w:hAnsi="Arial"/>
                <w:b w:val="0"/>
                <w:i w:val="0"/>
                <w:color w:val="304154"/>
                <w:sz w:val="16"/>
              </w:rPr>
              <w:t>Reflect risk, cash burden, market practice, margin, and enforceability.</w:t>
            </w:r>
          </w:p>
        </w:tc>
      </w:tr>
      <w:tr>
        <w:tc>
          <w:tcPr>
            <w:tcW w:type="dxa" w:w="2600"/>
            <w:vAlign w:val="center"/>
          </w:tcPr>
          <w:p>
            <w:pPr>
              <w:spacing w:after="0"/>
            </w:pPr>
            <w:r>
              <w:rPr>
                <w:rFonts w:ascii="Arial" w:hAnsi="Arial"/>
                <w:b w:val="0"/>
                <w:i w:val="0"/>
                <w:color w:val="304154"/>
                <w:sz w:val="16"/>
              </w:rPr>
              <w:t>Deposits / milestones</w:t>
            </w:r>
          </w:p>
        </w:tc>
        <w:tc>
          <w:tcPr>
            <w:tcW w:type="dxa" w:w="6760"/>
            <w:vAlign w:val="center"/>
          </w:tcPr>
          <w:p>
            <w:pPr>
              <w:spacing w:after="0"/>
            </w:pPr>
            <w:r>
              <w:rPr>
                <w:rFonts w:ascii="Arial" w:hAnsi="Arial"/>
                <w:b w:val="0"/>
                <w:i w:val="0"/>
                <w:color w:val="304154"/>
                <w:sz w:val="16"/>
              </w:rPr>
              <w:t>Use for custom, long-cycle, high-value, risky, or cash-intensive work.</w:t>
            </w:r>
          </w:p>
        </w:tc>
      </w:tr>
      <w:tr>
        <w:tc>
          <w:tcPr>
            <w:tcW w:type="dxa" w:w="2600"/>
            <w:shd w:fill="F3F5F7"/>
            <w:vAlign w:val="center"/>
          </w:tcPr>
          <w:p>
            <w:pPr>
              <w:spacing w:after="0"/>
            </w:pPr>
            <w:r>
              <w:rPr>
                <w:rFonts w:ascii="Arial" w:hAnsi="Arial"/>
                <w:b w:val="0"/>
                <w:i w:val="0"/>
                <w:color w:val="304154"/>
                <w:sz w:val="16"/>
              </w:rPr>
              <w:t>Security / guarantees</w:t>
            </w:r>
          </w:p>
        </w:tc>
        <w:tc>
          <w:tcPr>
            <w:tcW w:type="dxa" w:w="6760"/>
            <w:shd w:fill="F3F5F7"/>
            <w:vAlign w:val="center"/>
          </w:tcPr>
          <w:p>
            <w:pPr>
              <w:spacing w:after="0"/>
            </w:pPr>
            <w:r>
              <w:rPr>
                <w:rFonts w:ascii="Arial" w:hAnsi="Arial"/>
                <w:b w:val="0"/>
                <w:i w:val="0"/>
                <w:color w:val="304154"/>
                <w:sz w:val="16"/>
              </w:rPr>
              <w:t>Verify enforceability, value, priority, expiry, and documentation.</w:t>
            </w:r>
          </w:p>
        </w:tc>
      </w:tr>
      <w:tr>
        <w:tc>
          <w:tcPr>
            <w:tcW w:type="dxa" w:w="2600"/>
            <w:vAlign w:val="center"/>
          </w:tcPr>
          <w:p>
            <w:pPr>
              <w:spacing w:after="0"/>
            </w:pPr>
            <w:r>
              <w:rPr>
                <w:rFonts w:ascii="Arial" w:hAnsi="Arial"/>
                <w:b w:val="0"/>
                <w:i w:val="0"/>
                <w:color w:val="304154"/>
                <w:sz w:val="16"/>
              </w:rPr>
              <w:t>Currency / country</w:t>
            </w:r>
          </w:p>
        </w:tc>
        <w:tc>
          <w:tcPr>
            <w:tcW w:type="dxa" w:w="6760"/>
            <w:vAlign w:val="center"/>
          </w:tcPr>
          <w:p>
            <w:pPr>
              <w:spacing w:after="0"/>
            </w:pPr>
            <w:r>
              <w:rPr>
                <w:rFonts w:ascii="Arial" w:hAnsi="Arial"/>
                <w:b w:val="0"/>
                <w:i w:val="0"/>
                <w:color w:val="304154"/>
                <w:sz w:val="16"/>
              </w:rPr>
              <w:t>Address transfer, sovereign, sanctions, FX, and collection risk.</w:t>
            </w:r>
          </w:p>
        </w:tc>
      </w:tr>
      <w:tr>
        <w:tc>
          <w:tcPr>
            <w:tcW w:type="dxa" w:w="2600"/>
            <w:shd w:fill="F3F5F7"/>
            <w:vAlign w:val="center"/>
          </w:tcPr>
          <w:p>
            <w:pPr>
              <w:spacing w:after="0"/>
            </w:pPr>
            <w:r>
              <w:rPr>
                <w:rFonts w:ascii="Arial" w:hAnsi="Arial"/>
                <w:b w:val="0"/>
                <w:i w:val="0"/>
                <w:color w:val="304154"/>
                <w:sz w:val="16"/>
              </w:rPr>
              <w:t>Concentration</w:t>
            </w:r>
          </w:p>
        </w:tc>
        <w:tc>
          <w:tcPr>
            <w:tcW w:type="dxa" w:w="6760"/>
            <w:shd w:fill="F3F5F7"/>
            <w:vAlign w:val="center"/>
          </w:tcPr>
          <w:p>
            <w:pPr>
              <w:spacing w:after="0"/>
            </w:pPr>
            <w:r>
              <w:rPr>
                <w:rFonts w:ascii="Arial" w:hAnsi="Arial"/>
                <w:b w:val="0"/>
                <w:i w:val="0"/>
                <w:color w:val="304154"/>
                <w:sz w:val="16"/>
              </w:rPr>
              <w:t>Escalate exposures above approved customer or portfolio tolerance.</w:t>
            </w:r>
          </w:p>
        </w:tc>
      </w:tr>
      <w:tr>
        <w:tc>
          <w:tcPr>
            <w:tcW w:type="dxa" w:w="2600"/>
            <w:vAlign w:val="center"/>
          </w:tcPr>
          <w:p>
            <w:pPr>
              <w:spacing w:after="0"/>
            </w:pPr>
            <w:r>
              <w:rPr>
                <w:rFonts w:ascii="Arial" w:hAnsi="Arial"/>
                <w:b w:val="0"/>
                <w:i w:val="0"/>
                <w:color w:val="304154"/>
                <w:sz w:val="16"/>
              </w:rPr>
              <w:t>Temporary increase</w:t>
            </w:r>
          </w:p>
        </w:tc>
        <w:tc>
          <w:tcPr>
            <w:tcW w:type="dxa" w:w="6760"/>
            <w:vAlign w:val="center"/>
          </w:tcPr>
          <w:p>
            <w:pPr>
              <w:spacing w:after="0"/>
            </w:pPr>
            <w:r>
              <w:rPr>
                <w:rFonts w:ascii="Arial" w:hAnsi="Arial"/>
                <w:b w:val="0"/>
                <w:i w:val="0"/>
                <w:color w:val="304154"/>
                <w:sz w:val="16"/>
              </w:rPr>
              <w:t>Define amount, purpose, evidence, approver, expiry, and reduction plan.</w:t>
            </w:r>
          </w:p>
        </w:tc>
      </w:tr>
    </w:tbl>
    <w:p>
      <w:pPr>
        <w:spacing w:after="0"/>
      </w:pPr>
    </w:p>
    <w:p>
      <w:pPr>
        <w:pStyle w:val="Heading1"/>
      </w:pPr>
      <w:r>
        <w:t>8. Order Release and Hold Controls</w:t>
      </w:r>
    </w:p>
    <w:tbl>
      <w:tblPr>
        <w:tblStyle w:val="TableGrid"/>
        <w:tblW w:type="dxa" w:w="9360"/>
        <w:jc w:val="left"/>
        <w:tblLayout w:type="fixed"/>
        <w:tblLook w:firstColumn="1" w:firstRow="1" w:lastColumn="0" w:lastRow="0" w:noHBand="0" w:noVBand="1" w:val="04A0"/>
        <w:tblInd w:w="120" w:type="dxa"/>
      </w:tblPr>
      <w:tblGrid>
        <w:gridCol w:w="2900"/>
        <w:gridCol w:w="6460"/>
      </w:tblGrid>
      <w:tr>
        <w:tc>
          <w:tcPr>
            <w:tcW w:type="dxa" w:w="2900"/>
            <w:shd w:fill="112740"/>
            <w:vAlign w:val="center"/>
          </w:tcPr>
          <w:p>
            <w:r>
              <w:rPr>
                <w:rFonts w:ascii="Arial" w:hAnsi="Arial"/>
                <w:b/>
                <w:i w:val="0"/>
                <w:color w:val="FFFFFF"/>
                <w:sz w:val="18"/>
              </w:rPr>
              <w:t>Trigger</w:t>
            </w:r>
          </w:p>
        </w:tc>
        <w:tc>
          <w:tcPr>
            <w:tcW w:type="dxa" w:w="6460"/>
            <w:shd w:fill="112740"/>
            <w:vAlign w:val="center"/>
          </w:tcPr>
          <w:p>
            <w:r>
              <w:rPr>
                <w:rFonts w:ascii="Arial" w:hAnsi="Arial"/>
                <w:b/>
                <w:i w:val="0"/>
                <w:color w:val="FFFFFF"/>
                <w:sz w:val="18"/>
              </w:rPr>
              <w:t>Required response</w:t>
            </w:r>
          </w:p>
        </w:tc>
      </w:tr>
      <w:tr>
        <w:tc>
          <w:tcPr>
            <w:tcW w:type="dxa" w:w="2900"/>
            <w:vAlign w:val="center"/>
          </w:tcPr>
          <w:p>
            <w:pPr>
              <w:spacing w:after="0"/>
            </w:pPr>
            <w:r>
              <w:rPr>
                <w:rFonts w:ascii="Arial" w:hAnsi="Arial"/>
                <w:b w:val="0"/>
                <w:i w:val="0"/>
                <w:color w:val="304154"/>
                <w:sz w:val="16"/>
              </w:rPr>
              <w:t>Exposure exceeds limit</w:t>
            </w:r>
          </w:p>
        </w:tc>
        <w:tc>
          <w:tcPr>
            <w:tcW w:type="dxa" w:w="6460"/>
            <w:vAlign w:val="center"/>
          </w:tcPr>
          <w:p>
            <w:pPr>
              <w:spacing w:after="0"/>
            </w:pPr>
            <w:r>
              <w:rPr>
                <w:rFonts w:ascii="Arial" w:hAnsi="Arial"/>
                <w:b w:val="0"/>
                <w:i w:val="0"/>
                <w:color w:val="304154"/>
                <w:sz w:val="16"/>
              </w:rPr>
              <w:t>Block or obtain authorized temporary approval before additional exposure.</w:t>
            </w:r>
          </w:p>
        </w:tc>
      </w:tr>
      <w:tr>
        <w:tc>
          <w:tcPr>
            <w:tcW w:type="dxa" w:w="2900"/>
            <w:shd w:fill="F3F5F7"/>
            <w:vAlign w:val="center"/>
          </w:tcPr>
          <w:p>
            <w:pPr>
              <w:spacing w:after="0"/>
            </w:pPr>
            <w:r>
              <w:rPr>
                <w:rFonts w:ascii="Arial" w:hAnsi="Arial"/>
                <w:b w:val="0"/>
                <w:i w:val="0"/>
                <w:color w:val="304154"/>
                <w:sz w:val="16"/>
              </w:rPr>
              <w:t>Material overdue balance</w:t>
            </w:r>
          </w:p>
        </w:tc>
        <w:tc>
          <w:tcPr>
            <w:tcW w:type="dxa" w:w="6460"/>
            <w:shd w:fill="F3F5F7"/>
            <w:vAlign w:val="center"/>
          </w:tcPr>
          <w:p>
            <w:pPr>
              <w:spacing w:after="0"/>
            </w:pPr>
            <w:r>
              <w:rPr>
                <w:rFonts w:ascii="Arial" w:hAnsi="Arial"/>
                <w:b w:val="0"/>
                <w:i w:val="0"/>
                <w:color w:val="304154"/>
                <w:sz w:val="16"/>
              </w:rPr>
              <w:t>Apply escalation matrix; release only with approved rationale and mitigation.</w:t>
            </w:r>
          </w:p>
        </w:tc>
      </w:tr>
      <w:tr>
        <w:tc>
          <w:tcPr>
            <w:tcW w:type="dxa" w:w="2900"/>
            <w:vAlign w:val="center"/>
          </w:tcPr>
          <w:p>
            <w:pPr>
              <w:spacing w:after="0"/>
            </w:pPr>
            <w:r>
              <w:rPr>
                <w:rFonts w:ascii="Arial" w:hAnsi="Arial"/>
                <w:b w:val="0"/>
                <w:i w:val="0"/>
                <w:color w:val="304154"/>
                <w:sz w:val="16"/>
              </w:rPr>
              <w:t>Broken promise / deteriorating risk</w:t>
            </w:r>
          </w:p>
        </w:tc>
        <w:tc>
          <w:tcPr>
            <w:tcW w:type="dxa" w:w="6460"/>
            <w:vAlign w:val="center"/>
          </w:tcPr>
          <w:p>
            <w:pPr>
              <w:spacing w:after="0"/>
            </w:pPr>
            <w:r>
              <w:rPr>
                <w:rFonts w:ascii="Arial" w:hAnsi="Arial"/>
                <w:b w:val="0"/>
                <w:i w:val="0"/>
                <w:color w:val="304154"/>
                <w:sz w:val="16"/>
              </w:rPr>
              <w:t>Reduce confidence, update cash forecast, reassess terms and limit.</w:t>
            </w:r>
          </w:p>
        </w:tc>
      </w:tr>
      <w:tr>
        <w:tc>
          <w:tcPr>
            <w:tcW w:type="dxa" w:w="2900"/>
            <w:shd w:fill="F3F5F7"/>
            <w:vAlign w:val="center"/>
          </w:tcPr>
          <w:p>
            <w:pPr>
              <w:spacing w:after="0"/>
            </w:pPr>
            <w:r>
              <w:rPr>
                <w:rFonts w:ascii="Arial" w:hAnsi="Arial"/>
                <w:b w:val="0"/>
                <w:i w:val="0"/>
                <w:color w:val="304154"/>
                <w:sz w:val="16"/>
              </w:rPr>
              <w:t>Expired credit review</w:t>
            </w:r>
          </w:p>
        </w:tc>
        <w:tc>
          <w:tcPr>
            <w:tcW w:type="dxa" w:w="6460"/>
            <w:shd w:fill="F3F5F7"/>
            <w:vAlign w:val="center"/>
          </w:tcPr>
          <w:p>
            <w:pPr>
              <w:spacing w:after="0"/>
            </w:pPr>
            <w:r>
              <w:rPr>
                <w:rFonts w:ascii="Arial" w:hAnsi="Arial"/>
                <w:b w:val="0"/>
                <w:i w:val="0"/>
                <w:color w:val="304154"/>
                <w:sz w:val="16"/>
              </w:rPr>
              <w:t>Suspend discretionary increase until review is completed.</w:t>
            </w:r>
          </w:p>
        </w:tc>
      </w:tr>
      <w:tr>
        <w:tc>
          <w:tcPr>
            <w:tcW w:type="dxa" w:w="2900"/>
            <w:vAlign w:val="center"/>
          </w:tcPr>
          <w:p>
            <w:pPr>
              <w:spacing w:after="0"/>
            </w:pPr>
            <w:r>
              <w:rPr>
                <w:rFonts w:ascii="Arial" w:hAnsi="Arial"/>
                <w:b w:val="0"/>
                <w:i w:val="0"/>
                <w:color w:val="304154"/>
                <w:sz w:val="16"/>
              </w:rPr>
              <w:t>Dispute or billing defect</w:t>
            </w:r>
          </w:p>
        </w:tc>
        <w:tc>
          <w:tcPr>
            <w:tcW w:type="dxa" w:w="6460"/>
            <w:vAlign w:val="center"/>
          </w:tcPr>
          <w:p>
            <w:pPr>
              <w:spacing w:after="0"/>
            </w:pPr>
            <w:r>
              <w:rPr>
                <w:rFonts w:ascii="Arial" w:hAnsi="Arial"/>
                <w:b w:val="0"/>
                <w:i w:val="0"/>
                <w:color w:val="304154"/>
                <w:sz w:val="16"/>
              </w:rPr>
              <w:t>Route for correction without treating legitimate dispute as simple collection failure.</w:t>
            </w:r>
          </w:p>
        </w:tc>
      </w:tr>
      <w:tr>
        <w:tc>
          <w:tcPr>
            <w:tcW w:type="dxa" w:w="2900"/>
            <w:shd w:fill="F3F5F7"/>
            <w:vAlign w:val="center"/>
          </w:tcPr>
          <w:p>
            <w:pPr>
              <w:spacing w:after="0"/>
            </w:pPr>
            <w:r>
              <w:rPr>
                <w:rFonts w:ascii="Arial" w:hAnsi="Arial"/>
                <w:b w:val="0"/>
                <w:i w:val="0"/>
                <w:color w:val="304154"/>
                <w:sz w:val="16"/>
              </w:rPr>
              <w:t>Fraud / insolvency / legal warning</w:t>
            </w:r>
          </w:p>
        </w:tc>
        <w:tc>
          <w:tcPr>
            <w:tcW w:type="dxa" w:w="6460"/>
            <w:shd w:fill="F3F5F7"/>
            <w:vAlign w:val="center"/>
          </w:tcPr>
          <w:p>
            <w:pPr>
              <w:spacing w:after="0"/>
            </w:pPr>
            <w:r>
              <w:rPr>
                <w:rFonts w:ascii="Arial" w:hAnsi="Arial"/>
                <w:b w:val="0"/>
                <w:i w:val="0"/>
                <w:color w:val="304154"/>
                <w:sz w:val="16"/>
              </w:rPr>
              <w:t>Immediate finance, legal, and executive escalation.</w:t>
            </w:r>
          </w:p>
        </w:tc>
      </w:tr>
    </w:tbl>
    <w:p>
      <w:pPr>
        <w:spacing w:after="0"/>
      </w:pPr>
    </w:p>
    <w:p>
      <w:pPr>
        <w:pStyle w:val="Heading1"/>
      </w:pPr>
      <w:r>
        <w:t>9. Monitoring and Early-Warning Triggers</w:t>
      </w:r>
    </w:p>
    <w:tbl>
      <w:tblPr>
        <w:tblStyle w:val="TableGrid"/>
        <w:tblW w:type="dxa" w:w="9360"/>
        <w:jc w:val="left"/>
        <w:tblLayout w:type="fixed"/>
        <w:tblLook w:firstColumn="1" w:firstRow="1" w:lastColumn="0" w:lastRow="0" w:noHBand="0" w:noVBand="1" w:val="04A0"/>
        <w:tblInd w:w="120" w:type="dxa"/>
      </w:tblPr>
      <w:tblGrid>
        <w:gridCol w:w="3300"/>
        <w:gridCol w:w="3900"/>
        <w:gridCol w:w="2160"/>
      </w:tblGrid>
      <w:tr>
        <w:tc>
          <w:tcPr>
            <w:tcW w:type="dxa" w:w="3300"/>
            <w:shd w:fill="112740"/>
            <w:vAlign w:val="center"/>
          </w:tcPr>
          <w:p>
            <w:r>
              <w:rPr>
                <w:rFonts w:ascii="Arial" w:hAnsi="Arial"/>
                <w:b/>
                <w:i w:val="0"/>
                <w:color w:val="FFFFFF"/>
                <w:sz w:val="18"/>
              </w:rPr>
              <w:t>Indicator</w:t>
            </w:r>
          </w:p>
        </w:tc>
        <w:tc>
          <w:tcPr>
            <w:tcW w:type="dxa" w:w="3900"/>
            <w:shd w:fill="112740"/>
            <w:vAlign w:val="center"/>
          </w:tcPr>
          <w:p>
            <w:r>
              <w:rPr>
                <w:rFonts w:ascii="Arial" w:hAnsi="Arial"/>
                <w:b/>
                <w:i w:val="0"/>
                <w:color w:val="FFFFFF"/>
                <w:sz w:val="18"/>
              </w:rPr>
              <w:t>Trigger / evidence</w:t>
            </w:r>
          </w:p>
        </w:tc>
        <w:tc>
          <w:tcPr>
            <w:tcW w:type="dxa" w:w="2160"/>
            <w:shd w:fill="112740"/>
            <w:vAlign w:val="center"/>
          </w:tcPr>
          <w:p>
            <w:r>
              <w:rPr>
                <w:rFonts w:ascii="Arial" w:hAnsi="Arial"/>
                <w:b/>
                <w:i w:val="0"/>
                <w:color w:val="FFFFFF"/>
                <w:sz w:val="18"/>
              </w:rPr>
              <w:t>Action owner</w:t>
            </w:r>
          </w:p>
        </w:tc>
      </w:tr>
      <w:tr>
        <w:tc>
          <w:tcPr>
            <w:tcW w:type="dxa" w:w="3300"/>
            <w:vAlign w:val="center"/>
          </w:tcPr>
          <w:p>
            <w:pPr>
              <w:spacing w:after="0"/>
            </w:pPr>
            <w:r>
              <w:rPr>
                <w:rFonts w:ascii="Arial" w:hAnsi="Arial"/>
                <w:b w:val="0"/>
                <w:i w:val="0"/>
                <w:color w:val="304154"/>
                <w:sz w:val="16"/>
              </w:rPr>
              <w:t>DSO and aging deterioration</w:t>
            </w:r>
          </w:p>
        </w:tc>
        <w:tc>
          <w:tcPr>
            <w:tcW w:type="dxa" w:w="3900"/>
            <w:vAlign w:val="center"/>
          </w:tcPr>
          <w:p>
            <w:pPr>
              <w:spacing w:after="0"/>
            </w:pPr>
            <w:r>
              <w:rPr>
                <w:rFonts w:ascii="Arial" w:hAnsi="Arial"/>
                <w:b w:val="0"/>
                <w:i w:val="0"/>
                <w:color w:val="304154"/>
                <w:sz w:val="16"/>
              </w:rPr>
              <w:t>____________________________</w:t>
            </w:r>
          </w:p>
        </w:tc>
        <w:tc>
          <w:tcPr>
            <w:tcW w:type="dxa" w:w="2160"/>
            <w:vAlign w:val="center"/>
          </w:tcPr>
          <w:p>
            <w:pPr>
              <w:spacing w:after="0"/>
            </w:pPr>
            <w:r>
              <w:rPr>
                <w:rFonts w:ascii="Arial" w:hAnsi="Arial"/>
                <w:b w:val="0"/>
                <w:i w:val="0"/>
                <w:color w:val="304154"/>
                <w:sz w:val="16"/>
              </w:rPr>
              <w:t>________________</w:t>
            </w:r>
          </w:p>
        </w:tc>
      </w:tr>
      <w:tr>
        <w:tc>
          <w:tcPr>
            <w:tcW w:type="dxa" w:w="3300"/>
            <w:shd w:fill="F3F5F7"/>
            <w:vAlign w:val="center"/>
          </w:tcPr>
          <w:p>
            <w:pPr>
              <w:spacing w:after="0"/>
            </w:pPr>
            <w:r>
              <w:rPr>
                <w:rFonts w:ascii="Arial" w:hAnsi="Arial"/>
                <w:b w:val="0"/>
                <w:i w:val="0"/>
                <w:color w:val="304154"/>
                <w:sz w:val="16"/>
              </w:rPr>
              <w:t>Repeated late or partial payment</w:t>
            </w:r>
          </w:p>
        </w:tc>
        <w:tc>
          <w:tcPr>
            <w:tcW w:type="dxa" w:w="3900"/>
            <w:shd w:fill="F3F5F7"/>
            <w:vAlign w:val="center"/>
          </w:tcPr>
          <w:p>
            <w:pPr>
              <w:spacing w:after="0"/>
            </w:pPr>
            <w:r>
              <w:rPr>
                <w:rFonts w:ascii="Arial" w:hAnsi="Arial"/>
                <w:b w:val="0"/>
                <w:i w:val="0"/>
                <w:color w:val="304154"/>
                <w:sz w:val="16"/>
              </w:rPr>
              <w:t>____________________________</w:t>
            </w:r>
          </w:p>
        </w:tc>
        <w:tc>
          <w:tcPr>
            <w:tcW w:type="dxa" w:w="2160"/>
            <w:shd w:fill="F3F5F7"/>
            <w:vAlign w:val="center"/>
          </w:tcPr>
          <w:p>
            <w:pPr>
              <w:spacing w:after="0"/>
            </w:pPr>
            <w:r>
              <w:rPr>
                <w:rFonts w:ascii="Arial" w:hAnsi="Arial"/>
                <w:b w:val="0"/>
                <w:i w:val="0"/>
                <w:color w:val="304154"/>
                <w:sz w:val="16"/>
              </w:rPr>
              <w:t>________________</w:t>
            </w:r>
          </w:p>
        </w:tc>
      </w:tr>
      <w:tr>
        <w:tc>
          <w:tcPr>
            <w:tcW w:type="dxa" w:w="3300"/>
            <w:vAlign w:val="center"/>
          </w:tcPr>
          <w:p>
            <w:pPr>
              <w:spacing w:after="0"/>
            </w:pPr>
            <w:r>
              <w:rPr>
                <w:rFonts w:ascii="Arial" w:hAnsi="Arial"/>
                <w:b w:val="0"/>
                <w:i w:val="0"/>
                <w:color w:val="304154"/>
                <w:sz w:val="16"/>
              </w:rPr>
              <w:t>Broken payment promise</w:t>
            </w:r>
          </w:p>
        </w:tc>
        <w:tc>
          <w:tcPr>
            <w:tcW w:type="dxa" w:w="3900"/>
            <w:vAlign w:val="center"/>
          </w:tcPr>
          <w:p>
            <w:pPr>
              <w:spacing w:after="0"/>
            </w:pPr>
            <w:r>
              <w:rPr>
                <w:rFonts w:ascii="Arial" w:hAnsi="Arial"/>
                <w:b w:val="0"/>
                <w:i w:val="0"/>
                <w:color w:val="304154"/>
                <w:sz w:val="16"/>
              </w:rPr>
              <w:t>____________________________</w:t>
            </w:r>
          </w:p>
        </w:tc>
        <w:tc>
          <w:tcPr>
            <w:tcW w:type="dxa" w:w="2160"/>
            <w:vAlign w:val="center"/>
          </w:tcPr>
          <w:p>
            <w:pPr>
              <w:spacing w:after="0"/>
            </w:pPr>
            <w:r>
              <w:rPr>
                <w:rFonts w:ascii="Arial" w:hAnsi="Arial"/>
                <w:b w:val="0"/>
                <w:i w:val="0"/>
                <w:color w:val="304154"/>
                <w:sz w:val="16"/>
              </w:rPr>
              <w:t>________________</w:t>
            </w:r>
          </w:p>
        </w:tc>
      </w:tr>
      <w:tr>
        <w:tc>
          <w:tcPr>
            <w:tcW w:type="dxa" w:w="3300"/>
            <w:shd w:fill="F3F5F7"/>
            <w:vAlign w:val="center"/>
          </w:tcPr>
          <w:p>
            <w:pPr>
              <w:spacing w:after="0"/>
            </w:pPr>
            <w:r>
              <w:rPr>
                <w:rFonts w:ascii="Arial" w:hAnsi="Arial"/>
                <w:b w:val="0"/>
                <w:i w:val="0"/>
                <w:color w:val="304154"/>
                <w:sz w:val="16"/>
              </w:rPr>
              <w:t>Limit utilization or open-order spike</w:t>
            </w:r>
          </w:p>
        </w:tc>
        <w:tc>
          <w:tcPr>
            <w:tcW w:type="dxa" w:w="3900"/>
            <w:shd w:fill="F3F5F7"/>
            <w:vAlign w:val="center"/>
          </w:tcPr>
          <w:p>
            <w:pPr>
              <w:spacing w:after="0"/>
            </w:pPr>
            <w:r>
              <w:rPr>
                <w:rFonts w:ascii="Arial" w:hAnsi="Arial"/>
                <w:b w:val="0"/>
                <w:i w:val="0"/>
                <w:color w:val="304154"/>
                <w:sz w:val="16"/>
              </w:rPr>
              <w:t>____________________________</w:t>
            </w:r>
          </w:p>
        </w:tc>
        <w:tc>
          <w:tcPr>
            <w:tcW w:type="dxa" w:w="2160"/>
            <w:shd w:fill="F3F5F7"/>
            <w:vAlign w:val="center"/>
          </w:tcPr>
          <w:p>
            <w:pPr>
              <w:spacing w:after="0"/>
            </w:pPr>
            <w:r>
              <w:rPr>
                <w:rFonts w:ascii="Arial" w:hAnsi="Arial"/>
                <w:b w:val="0"/>
                <w:i w:val="0"/>
                <w:color w:val="304154"/>
                <w:sz w:val="16"/>
              </w:rPr>
              <w:t>________________</w:t>
            </w:r>
          </w:p>
        </w:tc>
      </w:tr>
      <w:tr>
        <w:tc>
          <w:tcPr>
            <w:tcW w:type="dxa" w:w="3300"/>
            <w:vAlign w:val="center"/>
          </w:tcPr>
          <w:p>
            <w:pPr>
              <w:spacing w:after="0"/>
            </w:pPr>
            <w:r>
              <w:rPr>
                <w:rFonts w:ascii="Arial" w:hAnsi="Arial"/>
                <w:b w:val="0"/>
                <w:i w:val="0"/>
                <w:color w:val="304154"/>
                <w:sz w:val="16"/>
              </w:rPr>
              <w:t>Dispute/deduction frequency</w:t>
            </w:r>
          </w:p>
        </w:tc>
        <w:tc>
          <w:tcPr>
            <w:tcW w:type="dxa" w:w="3900"/>
            <w:vAlign w:val="center"/>
          </w:tcPr>
          <w:p>
            <w:pPr>
              <w:spacing w:after="0"/>
            </w:pPr>
            <w:r>
              <w:rPr>
                <w:rFonts w:ascii="Arial" w:hAnsi="Arial"/>
                <w:b w:val="0"/>
                <w:i w:val="0"/>
                <w:color w:val="304154"/>
                <w:sz w:val="16"/>
              </w:rPr>
              <w:t>____________________________</w:t>
            </w:r>
          </w:p>
        </w:tc>
        <w:tc>
          <w:tcPr>
            <w:tcW w:type="dxa" w:w="2160"/>
            <w:vAlign w:val="center"/>
          </w:tcPr>
          <w:p>
            <w:pPr>
              <w:spacing w:after="0"/>
            </w:pPr>
            <w:r>
              <w:rPr>
                <w:rFonts w:ascii="Arial" w:hAnsi="Arial"/>
                <w:b w:val="0"/>
                <w:i w:val="0"/>
                <w:color w:val="304154"/>
                <w:sz w:val="16"/>
              </w:rPr>
              <w:t>________________</w:t>
            </w:r>
          </w:p>
        </w:tc>
      </w:tr>
      <w:tr>
        <w:tc>
          <w:tcPr>
            <w:tcW w:type="dxa" w:w="3300"/>
            <w:shd w:fill="F3F5F7"/>
            <w:vAlign w:val="center"/>
          </w:tcPr>
          <w:p>
            <w:pPr>
              <w:spacing w:after="0"/>
            </w:pPr>
            <w:r>
              <w:rPr>
                <w:rFonts w:ascii="Arial" w:hAnsi="Arial"/>
                <w:b w:val="0"/>
                <w:i w:val="0"/>
                <w:color w:val="304154"/>
                <w:sz w:val="16"/>
              </w:rPr>
              <w:t>External rating or financial deterioration</w:t>
            </w:r>
          </w:p>
        </w:tc>
        <w:tc>
          <w:tcPr>
            <w:tcW w:type="dxa" w:w="3900"/>
            <w:shd w:fill="F3F5F7"/>
            <w:vAlign w:val="center"/>
          </w:tcPr>
          <w:p>
            <w:pPr>
              <w:spacing w:after="0"/>
            </w:pPr>
            <w:r>
              <w:rPr>
                <w:rFonts w:ascii="Arial" w:hAnsi="Arial"/>
                <w:b w:val="0"/>
                <w:i w:val="0"/>
                <w:color w:val="304154"/>
                <w:sz w:val="16"/>
              </w:rPr>
              <w:t>____________________________</w:t>
            </w:r>
          </w:p>
        </w:tc>
        <w:tc>
          <w:tcPr>
            <w:tcW w:type="dxa" w:w="2160"/>
            <w:shd w:fill="F3F5F7"/>
            <w:vAlign w:val="center"/>
          </w:tcPr>
          <w:p>
            <w:pPr>
              <w:spacing w:after="0"/>
            </w:pPr>
            <w:r>
              <w:rPr>
                <w:rFonts w:ascii="Arial" w:hAnsi="Arial"/>
                <w:b w:val="0"/>
                <w:i w:val="0"/>
                <w:color w:val="304154"/>
                <w:sz w:val="16"/>
              </w:rPr>
              <w:t>________________</w:t>
            </w:r>
          </w:p>
        </w:tc>
      </w:tr>
      <w:tr>
        <w:tc>
          <w:tcPr>
            <w:tcW w:type="dxa" w:w="3300"/>
            <w:vAlign w:val="center"/>
          </w:tcPr>
          <w:p>
            <w:pPr>
              <w:spacing w:after="0"/>
            </w:pPr>
            <w:r>
              <w:rPr>
                <w:rFonts w:ascii="Arial" w:hAnsi="Arial"/>
                <w:b w:val="0"/>
                <w:i w:val="0"/>
                <w:color w:val="304154"/>
                <w:sz w:val="16"/>
              </w:rPr>
              <w:t>Customer concentration increase</w:t>
            </w:r>
          </w:p>
        </w:tc>
        <w:tc>
          <w:tcPr>
            <w:tcW w:type="dxa" w:w="3900"/>
            <w:vAlign w:val="center"/>
          </w:tcPr>
          <w:p>
            <w:pPr>
              <w:spacing w:after="0"/>
            </w:pPr>
            <w:r>
              <w:rPr>
                <w:rFonts w:ascii="Arial" w:hAnsi="Arial"/>
                <w:b w:val="0"/>
                <w:i w:val="0"/>
                <w:color w:val="304154"/>
                <w:sz w:val="16"/>
              </w:rPr>
              <w:t>____________________________</w:t>
            </w:r>
          </w:p>
        </w:tc>
        <w:tc>
          <w:tcPr>
            <w:tcW w:type="dxa" w:w="2160"/>
            <w:vAlign w:val="center"/>
          </w:tcPr>
          <w:p>
            <w:pPr>
              <w:spacing w:after="0"/>
            </w:pPr>
            <w:r>
              <w:rPr>
                <w:rFonts w:ascii="Arial" w:hAnsi="Arial"/>
                <w:b w:val="0"/>
                <w:i w:val="0"/>
                <w:color w:val="304154"/>
                <w:sz w:val="16"/>
              </w:rPr>
              <w:t>________________</w:t>
            </w:r>
          </w:p>
        </w:tc>
      </w:tr>
      <w:tr>
        <w:tc>
          <w:tcPr>
            <w:tcW w:type="dxa" w:w="3300"/>
            <w:shd w:fill="F3F5F7"/>
            <w:vAlign w:val="center"/>
          </w:tcPr>
          <w:p>
            <w:pPr>
              <w:spacing w:after="0"/>
            </w:pPr>
            <w:r>
              <w:rPr>
                <w:rFonts w:ascii="Arial" w:hAnsi="Arial"/>
                <w:b w:val="0"/>
                <w:i w:val="0"/>
                <w:color w:val="304154"/>
                <w:sz w:val="16"/>
              </w:rPr>
              <w:t>Management, ownership, industry, country, or legal change</w:t>
            </w:r>
          </w:p>
        </w:tc>
        <w:tc>
          <w:tcPr>
            <w:tcW w:type="dxa" w:w="3900"/>
            <w:shd w:fill="F3F5F7"/>
            <w:vAlign w:val="center"/>
          </w:tcPr>
          <w:p>
            <w:pPr>
              <w:spacing w:after="0"/>
            </w:pPr>
            <w:r>
              <w:rPr>
                <w:rFonts w:ascii="Arial" w:hAnsi="Arial"/>
                <w:b w:val="0"/>
                <w:i w:val="0"/>
                <w:color w:val="304154"/>
                <w:sz w:val="16"/>
              </w:rPr>
              <w:t>____________________________</w:t>
            </w:r>
          </w:p>
        </w:tc>
        <w:tc>
          <w:tcPr>
            <w:tcW w:type="dxa" w:w="2160"/>
            <w:shd w:fill="F3F5F7"/>
            <w:vAlign w:val="center"/>
          </w:tcPr>
          <w:p>
            <w:pPr>
              <w:spacing w:after="0"/>
            </w:pPr>
            <w:r>
              <w:rPr>
                <w:rFonts w:ascii="Arial" w:hAnsi="Arial"/>
                <w:b w:val="0"/>
                <w:i w:val="0"/>
                <w:color w:val="304154"/>
                <w:sz w:val="16"/>
              </w:rPr>
              <w:t>________________</w:t>
            </w:r>
          </w:p>
        </w:tc>
      </w:tr>
    </w:tbl>
    <w:p>
      <w:pPr>
        <w:spacing w:after="0"/>
      </w:pPr>
    </w:p>
    <w:p>
      <w:pPr>
        <w:pStyle w:val="Heading1"/>
      </w:pPr>
      <w:r>
        <w:t>10. Exceptions and Overrides</w:t>
      </w:r>
    </w:p>
    <w:p>
      <w:r>
        <w:t>Every exception must state the standard being overridden, business rationale, quantified exposure, risk mitigation, approver, effective date, expiry, monitoring, and exit condition. Repeated exceptions require policy or process review—not automatic renewal.</w:t>
      </w:r>
    </w:p>
    <w:tbl>
      <w:tblPr>
        <w:tblStyle w:val="TableGrid"/>
        <w:tblW w:type="dxa" w:w="9360"/>
        <w:jc w:val="left"/>
        <w:tblLayout w:type="fixed"/>
        <w:tblLook w:firstColumn="1" w:firstRow="1" w:lastColumn="0" w:lastRow="0" w:noHBand="0" w:noVBand="1" w:val="04A0"/>
        <w:tblInd w:w="120" w:type="dxa"/>
      </w:tblPr>
      <w:tblGrid>
        <w:gridCol w:w="3300"/>
        <w:gridCol w:w="6060"/>
      </w:tblGrid>
      <w:tr>
        <w:tc>
          <w:tcPr>
            <w:tcW w:type="dxa" w:w="3300"/>
            <w:shd w:fill="112740"/>
            <w:vAlign w:val="center"/>
          </w:tcPr>
          <w:p>
            <w:r>
              <w:rPr>
                <w:rFonts w:ascii="Arial" w:hAnsi="Arial"/>
                <w:b/>
                <w:i w:val="0"/>
                <w:color w:val="FFFFFF"/>
                <w:sz w:val="18"/>
              </w:rPr>
              <w:t>Exception record</w:t>
            </w:r>
          </w:p>
        </w:tc>
        <w:tc>
          <w:tcPr>
            <w:tcW w:type="dxa" w:w="6060"/>
            <w:shd w:fill="112740"/>
            <w:vAlign w:val="center"/>
          </w:tcPr>
          <w:p>
            <w:r>
              <w:rPr>
                <w:rFonts w:ascii="Arial" w:hAnsi="Arial"/>
                <w:b/>
                <w:i w:val="0"/>
                <w:color w:val="FFFFFF"/>
                <w:sz w:val="18"/>
              </w:rPr>
              <w:t>Required entry</w:t>
            </w:r>
          </w:p>
        </w:tc>
      </w:tr>
      <w:tr>
        <w:tc>
          <w:tcPr>
            <w:tcW w:type="dxa" w:w="3300"/>
            <w:vAlign w:val="center"/>
          </w:tcPr>
          <w:p>
            <w:pPr>
              <w:spacing w:after="0"/>
            </w:pPr>
            <w:r>
              <w:rPr>
                <w:rFonts w:ascii="Arial" w:hAnsi="Arial"/>
                <w:b w:val="0"/>
                <w:i w:val="0"/>
                <w:color w:val="304154"/>
                <w:sz w:val="16"/>
              </w:rPr>
              <w:t>Customer / exposure</w:t>
            </w:r>
          </w:p>
        </w:tc>
        <w:tc>
          <w:tcPr>
            <w:tcW w:type="dxa" w:w="6060"/>
            <w:vAlign w:val="center"/>
          </w:tcPr>
          <w:p>
            <w:pPr>
              <w:spacing w:after="0"/>
            </w:pPr>
            <w:r>
              <w:rPr>
                <w:rFonts w:ascii="Arial" w:hAnsi="Arial"/>
                <w:b w:val="0"/>
                <w:i w:val="0"/>
                <w:color w:val="304154"/>
                <w:sz w:val="16"/>
              </w:rPr>
            </w:r>
          </w:p>
        </w:tc>
      </w:tr>
      <w:tr>
        <w:tc>
          <w:tcPr>
            <w:tcW w:type="dxa" w:w="3300"/>
            <w:shd w:fill="F3F5F7"/>
            <w:vAlign w:val="center"/>
          </w:tcPr>
          <w:p>
            <w:pPr>
              <w:spacing w:after="0"/>
            </w:pPr>
            <w:r>
              <w:rPr>
                <w:rFonts w:ascii="Arial" w:hAnsi="Arial"/>
                <w:b w:val="0"/>
                <w:i w:val="0"/>
                <w:color w:val="304154"/>
                <w:sz w:val="16"/>
              </w:rPr>
              <w:t>Policy standard overridden</w:t>
            </w:r>
          </w:p>
        </w:tc>
        <w:tc>
          <w:tcPr>
            <w:tcW w:type="dxa" w:w="6060"/>
            <w:shd w:fill="F3F5F7"/>
            <w:vAlign w:val="center"/>
          </w:tcPr>
          <w:p>
            <w:pPr>
              <w:spacing w:after="0"/>
            </w:pPr>
            <w:r>
              <w:rPr>
                <w:rFonts w:ascii="Arial" w:hAnsi="Arial"/>
                <w:b w:val="0"/>
                <w:i w:val="0"/>
                <w:color w:val="304154"/>
                <w:sz w:val="16"/>
              </w:rPr>
            </w:r>
          </w:p>
        </w:tc>
      </w:tr>
      <w:tr>
        <w:tc>
          <w:tcPr>
            <w:tcW w:type="dxa" w:w="3300"/>
            <w:vAlign w:val="center"/>
          </w:tcPr>
          <w:p>
            <w:pPr>
              <w:spacing w:after="0"/>
            </w:pPr>
            <w:r>
              <w:rPr>
                <w:rFonts w:ascii="Arial" w:hAnsi="Arial"/>
                <w:b w:val="0"/>
                <w:i w:val="0"/>
                <w:color w:val="304154"/>
                <w:sz w:val="16"/>
              </w:rPr>
              <w:t>Rationale and alternatives</w:t>
            </w:r>
          </w:p>
        </w:tc>
        <w:tc>
          <w:tcPr>
            <w:tcW w:type="dxa" w:w="6060"/>
            <w:vAlign w:val="center"/>
          </w:tcPr>
          <w:p>
            <w:pPr>
              <w:spacing w:after="0"/>
            </w:pPr>
            <w:r>
              <w:rPr>
                <w:rFonts w:ascii="Arial" w:hAnsi="Arial"/>
                <w:b w:val="0"/>
                <w:i w:val="0"/>
                <w:color w:val="304154"/>
                <w:sz w:val="16"/>
              </w:rPr>
            </w:r>
          </w:p>
        </w:tc>
      </w:tr>
      <w:tr>
        <w:tc>
          <w:tcPr>
            <w:tcW w:type="dxa" w:w="3300"/>
            <w:shd w:fill="F3F5F7"/>
            <w:vAlign w:val="center"/>
          </w:tcPr>
          <w:p>
            <w:pPr>
              <w:spacing w:after="0"/>
            </w:pPr>
            <w:r>
              <w:rPr>
                <w:rFonts w:ascii="Arial" w:hAnsi="Arial"/>
                <w:b w:val="0"/>
                <w:i w:val="0"/>
                <w:color w:val="304154"/>
                <w:sz w:val="16"/>
              </w:rPr>
              <w:t>Mitigation / security</w:t>
            </w:r>
          </w:p>
        </w:tc>
        <w:tc>
          <w:tcPr>
            <w:tcW w:type="dxa" w:w="6060"/>
            <w:shd w:fill="F3F5F7"/>
            <w:vAlign w:val="center"/>
          </w:tcPr>
          <w:p>
            <w:pPr>
              <w:spacing w:after="0"/>
            </w:pPr>
            <w:r>
              <w:rPr>
                <w:rFonts w:ascii="Arial" w:hAnsi="Arial"/>
                <w:b w:val="0"/>
                <w:i w:val="0"/>
                <w:color w:val="304154"/>
                <w:sz w:val="16"/>
              </w:rPr>
            </w:r>
          </w:p>
        </w:tc>
      </w:tr>
      <w:tr>
        <w:tc>
          <w:tcPr>
            <w:tcW w:type="dxa" w:w="3300"/>
            <w:vAlign w:val="center"/>
          </w:tcPr>
          <w:p>
            <w:pPr>
              <w:spacing w:after="0"/>
            </w:pPr>
            <w:r>
              <w:rPr>
                <w:rFonts w:ascii="Arial" w:hAnsi="Arial"/>
                <w:b w:val="0"/>
                <w:i w:val="0"/>
                <w:color w:val="304154"/>
                <w:sz w:val="16"/>
              </w:rPr>
              <w:t>Approver and authority</w:t>
            </w:r>
          </w:p>
        </w:tc>
        <w:tc>
          <w:tcPr>
            <w:tcW w:type="dxa" w:w="6060"/>
            <w:vAlign w:val="center"/>
          </w:tcPr>
          <w:p>
            <w:pPr>
              <w:spacing w:after="0"/>
            </w:pPr>
            <w:r>
              <w:rPr>
                <w:rFonts w:ascii="Arial" w:hAnsi="Arial"/>
                <w:b w:val="0"/>
                <w:i w:val="0"/>
                <w:color w:val="304154"/>
                <w:sz w:val="16"/>
              </w:rPr>
            </w:r>
          </w:p>
        </w:tc>
      </w:tr>
      <w:tr>
        <w:tc>
          <w:tcPr>
            <w:tcW w:type="dxa" w:w="3300"/>
            <w:shd w:fill="F3F5F7"/>
            <w:vAlign w:val="center"/>
          </w:tcPr>
          <w:p>
            <w:pPr>
              <w:spacing w:after="0"/>
            </w:pPr>
            <w:r>
              <w:rPr>
                <w:rFonts w:ascii="Arial" w:hAnsi="Arial"/>
                <w:b w:val="0"/>
                <w:i w:val="0"/>
                <w:color w:val="304154"/>
                <w:sz w:val="16"/>
              </w:rPr>
              <w:t>Expiry / exit condition</w:t>
            </w:r>
          </w:p>
        </w:tc>
        <w:tc>
          <w:tcPr>
            <w:tcW w:type="dxa" w:w="6060"/>
            <w:shd w:fill="F3F5F7"/>
            <w:vAlign w:val="center"/>
          </w:tcPr>
          <w:p>
            <w:pPr>
              <w:spacing w:after="0"/>
            </w:pPr>
            <w:r>
              <w:rPr>
                <w:rFonts w:ascii="Arial" w:hAnsi="Arial"/>
                <w:b w:val="0"/>
                <w:i w:val="0"/>
                <w:color w:val="304154"/>
                <w:sz w:val="16"/>
              </w:rPr>
            </w:r>
          </w:p>
        </w:tc>
      </w:tr>
      <w:tr>
        <w:tc>
          <w:tcPr>
            <w:tcW w:type="dxa" w:w="3300"/>
            <w:vAlign w:val="center"/>
          </w:tcPr>
          <w:p>
            <w:pPr>
              <w:spacing w:after="0"/>
            </w:pPr>
            <w:r>
              <w:rPr>
                <w:rFonts w:ascii="Arial" w:hAnsi="Arial"/>
                <w:b w:val="0"/>
                <w:i w:val="0"/>
                <w:color w:val="304154"/>
                <w:sz w:val="16"/>
              </w:rPr>
              <w:t>Monitoring and evidence</w:t>
            </w:r>
          </w:p>
        </w:tc>
        <w:tc>
          <w:tcPr>
            <w:tcW w:type="dxa" w:w="6060"/>
            <w:vAlign w:val="center"/>
          </w:tcPr>
          <w:p>
            <w:pPr>
              <w:spacing w:after="0"/>
            </w:pPr>
            <w:r>
              <w:rPr>
                <w:rFonts w:ascii="Arial" w:hAnsi="Arial"/>
                <w:b w:val="0"/>
                <w:i w:val="0"/>
                <w:color w:val="304154"/>
                <w:sz w:val="16"/>
              </w:rPr>
            </w:r>
          </w:p>
        </w:tc>
      </w:tr>
    </w:tbl>
    <w:p>
      <w:pPr>
        <w:spacing w:after="0"/>
      </w:pPr>
    </w:p>
    <w:p>
      <w:pPr>
        <w:pStyle w:val="Heading1"/>
      </w:pPr>
      <w:r>
        <w:t>11. Portfolio Review and Reporting</w:t>
      </w:r>
    </w:p>
    <w:tbl>
      <w:tblPr>
        <w:tblStyle w:val="TableGrid"/>
        <w:tblW w:type="dxa" w:w="9360"/>
        <w:jc w:val="left"/>
        <w:tblLayout w:type="fixed"/>
        <w:tblLook w:firstColumn="1" w:firstRow="1" w:lastColumn="0" w:lastRow="0" w:noHBand="0" w:noVBand="1" w:val="04A0"/>
        <w:tblInd w:w="120" w:type="dxa"/>
      </w:tblPr>
      <w:tblGrid>
        <w:gridCol w:w="1800"/>
        <w:gridCol w:w="7560"/>
      </w:tblGrid>
      <w:tr>
        <w:tc>
          <w:tcPr>
            <w:tcW w:type="dxa" w:w="1800"/>
            <w:shd w:fill="112740"/>
            <w:vAlign w:val="center"/>
          </w:tcPr>
          <w:p>
            <w:r>
              <w:rPr>
                <w:rFonts w:ascii="Arial" w:hAnsi="Arial"/>
                <w:b/>
                <w:i w:val="0"/>
                <w:color w:val="FFFFFF"/>
                <w:sz w:val="18"/>
              </w:rPr>
              <w:t>Cadence</w:t>
            </w:r>
          </w:p>
        </w:tc>
        <w:tc>
          <w:tcPr>
            <w:tcW w:type="dxa" w:w="7560"/>
            <w:shd w:fill="112740"/>
            <w:vAlign w:val="center"/>
          </w:tcPr>
          <w:p>
            <w:r>
              <w:rPr>
                <w:rFonts w:ascii="Arial" w:hAnsi="Arial"/>
                <w:b/>
                <w:i w:val="0"/>
                <w:color w:val="FFFFFF"/>
                <w:sz w:val="18"/>
              </w:rPr>
              <w:t>Required review</w:t>
            </w:r>
          </w:p>
        </w:tc>
      </w:tr>
      <w:tr>
        <w:tc>
          <w:tcPr>
            <w:tcW w:type="dxa" w:w="1800"/>
            <w:vAlign w:val="center"/>
          </w:tcPr>
          <w:p>
            <w:pPr>
              <w:spacing w:after="0"/>
            </w:pPr>
            <w:r>
              <w:rPr>
                <w:rFonts w:ascii="Arial" w:hAnsi="Arial"/>
                <w:b w:val="0"/>
                <w:i w:val="0"/>
                <w:color w:val="304154"/>
                <w:sz w:val="17"/>
              </w:rPr>
              <w:t>Daily / weekly</w:t>
            </w:r>
          </w:p>
        </w:tc>
        <w:tc>
          <w:tcPr>
            <w:tcW w:type="dxa" w:w="7560"/>
            <w:vAlign w:val="center"/>
          </w:tcPr>
          <w:p>
            <w:pPr>
              <w:spacing w:after="0"/>
            </w:pPr>
            <w:r>
              <w:rPr>
                <w:rFonts w:ascii="Arial" w:hAnsi="Arial"/>
                <w:b w:val="0"/>
                <w:i w:val="0"/>
                <w:color w:val="304154"/>
                <w:sz w:val="17"/>
              </w:rPr>
              <w:t>Overdue items, broken promises, holds, disputes, near-term cash forecast, critical exceptions</w:t>
            </w:r>
          </w:p>
        </w:tc>
      </w:tr>
      <w:tr>
        <w:tc>
          <w:tcPr>
            <w:tcW w:type="dxa" w:w="1800"/>
            <w:shd w:fill="F3F5F7"/>
            <w:vAlign w:val="center"/>
          </w:tcPr>
          <w:p>
            <w:pPr>
              <w:spacing w:after="0"/>
            </w:pPr>
            <w:r>
              <w:rPr>
                <w:rFonts w:ascii="Arial" w:hAnsi="Arial"/>
                <w:b w:val="0"/>
                <w:i w:val="0"/>
                <w:color w:val="304154"/>
                <w:sz w:val="17"/>
              </w:rPr>
              <w:t>Monthly</w:t>
            </w:r>
          </w:p>
        </w:tc>
        <w:tc>
          <w:tcPr>
            <w:tcW w:type="dxa" w:w="7560"/>
            <w:shd w:fill="F3F5F7"/>
            <w:vAlign w:val="center"/>
          </w:tcPr>
          <w:p>
            <w:pPr>
              <w:spacing w:after="0"/>
            </w:pPr>
            <w:r>
              <w:rPr>
                <w:rFonts w:ascii="Arial" w:hAnsi="Arial"/>
                <w:b w:val="0"/>
                <w:i w:val="0"/>
                <w:color w:val="304154"/>
                <w:sz w:val="17"/>
              </w:rPr>
              <w:t>Limits, utilization, aging, DSO, risk migration, concentration, expected loss, actions</w:t>
            </w:r>
          </w:p>
        </w:tc>
      </w:tr>
      <w:tr>
        <w:tc>
          <w:tcPr>
            <w:tcW w:type="dxa" w:w="1800"/>
            <w:vAlign w:val="center"/>
          </w:tcPr>
          <w:p>
            <w:pPr>
              <w:spacing w:after="0"/>
            </w:pPr>
            <w:r>
              <w:rPr>
                <w:rFonts w:ascii="Arial" w:hAnsi="Arial"/>
                <w:b w:val="0"/>
                <w:i w:val="0"/>
                <w:color w:val="304154"/>
                <w:sz w:val="17"/>
              </w:rPr>
              <w:t>Quarterly</w:t>
            </w:r>
          </w:p>
        </w:tc>
        <w:tc>
          <w:tcPr>
            <w:tcW w:type="dxa" w:w="7560"/>
            <w:vAlign w:val="center"/>
          </w:tcPr>
          <w:p>
            <w:pPr>
              <w:spacing w:after="0"/>
            </w:pPr>
            <w:r>
              <w:rPr>
                <w:rFonts w:ascii="Arial" w:hAnsi="Arial"/>
                <w:b w:val="0"/>
                <w:i w:val="0"/>
                <w:color w:val="304154"/>
                <w:sz w:val="17"/>
              </w:rPr>
              <w:t>High-risk accounts, large exposures, exceptions, reserves, sector/country risk, policy effectiveness</w:t>
            </w:r>
          </w:p>
        </w:tc>
      </w:tr>
      <w:tr>
        <w:tc>
          <w:tcPr>
            <w:tcW w:type="dxa" w:w="1800"/>
            <w:shd w:fill="F3F5F7"/>
            <w:vAlign w:val="center"/>
          </w:tcPr>
          <w:p>
            <w:pPr>
              <w:spacing w:after="0"/>
            </w:pPr>
            <w:r>
              <w:rPr>
                <w:rFonts w:ascii="Arial" w:hAnsi="Arial"/>
                <w:b w:val="0"/>
                <w:i w:val="0"/>
                <w:color w:val="304154"/>
                <w:sz w:val="17"/>
              </w:rPr>
              <w:t>Annual</w:t>
            </w:r>
          </w:p>
        </w:tc>
        <w:tc>
          <w:tcPr>
            <w:tcW w:type="dxa" w:w="7560"/>
            <w:shd w:fill="F3F5F7"/>
            <w:vAlign w:val="center"/>
          </w:tcPr>
          <w:p>
            <w:pPr>
              <w:spacing w:after="0"/>
            </w:pPr>
            <w:r>
              <w:rPr>
                <w:rFonts w:ascii="Arial" w:hAnsi="Arial"/>
                <w:b w:val="0"/>
                <w:i w:val="0"/>
                <w:color w:val="304154"/>
                <w:sz w:val="17"/>
              </w:rPr>
              <w:t>Policy, authority, scoring model, loss experience, controls, training, portfolio risk appetite</w:t>
            </w:r>
          </w:p>
        </w:tc>
      </w:tr>
    </w:tbl>
    <w:p>
      <w:pPr>
        <w:spacing w:after="0"/>
      </w:pPr>
    </w:p>
    <w:p>
      <w:pPr>
        <w:pStyle w:val="Heading1"/>
      </w:pPr>
      <w:r>
        <w:t>12. Records, Privacy, and Retention</w:t>
      </w:r>
    </w:p>
    <w:p>
      <w:r>
        <w:t>Restrict customer financial, identity, banking, and credit information to authorized users. Retain applications, evidence, scores, approvals, exceptions, communications, monitoring, and closure records according to law and company policy.</w:t>
      </w:r>
    </w:p>
    <w:p>
      <w:pPr>
        <w:pStyle w:val="Heading1"/>
      </w:pPr>
      <w:r>
        <w:t>13. Policy Certification</w:t>
      </w:r>
    </w:p>
    <w:tbl>
      <w:tblPr>
        <w:tblStyle w:val="TableGrid"/>
        <w:tblW w:type="dxa" w:w="9360"/>
        <w:jc w:val="left"/>
        <w:tblLayout w:type="fixed"/>
        <w:tblLook w:firstColumn="1" w:firstRow="1" w:lastColumn="0" w:lastRow="0" w:noHBand="0" w:noVBand="1" w:val="04A0"/>
        <w:tblInd w:w="120" w:type="dxa"/>
      </w:tblPr>
      <w:tblGrid>
        <w:gridCol w:w="6100"/>
        <w:gridCol w:w="3260"/>
      </w:tblGrid>
      <w:tr>
        <w:tc>
          <w:tcPr>
            <w:tcW w:type="dxa" w:w="6100"/>
            <w:shd w:fill="112740"/>
            <w:vAlign w:val="center"/>
          </w:tcPr>
          <w:p>
            <w:r>
              <w:rPr>
                <w:rFonts w:ascii="Arial" w:hAnsi="Arial"/>
                <w:b/>
                <w:i w:val="0"/>
                <w:color w:val="FFFFFF"/>
                <w:sz w:val="18"/>
              </w:rPr>
              <w:t>Certification</w:t>
            </w:r>
          </w:p>
        </w:tc>
        <w:tc>
          <w:tcPr>
            <w:tcW w:type="dxa" w:w="3260"/>
            <w:shd w:fill="112740"/>
            <w:vAlign w:val="center"/>
          </w:tcPr>
          <w:p>
            <w:r>
              <w:rPr>
                <w:rFonts w:ascii="Arial" w:hAnsi="Arial"/>
                <w:b/>
                <w:i w:val="0"/>
                <w:color w:val="FFFFFF"/>
                <w:sz w:val="18"/>
              </w:rPr>
              <w:t>Name / date / evidence</w:t>
            </w:r>
          </w:p>
        </w:tc>
      </w:tr>
      <w:tr>
        <w:tc>
          <w:tcPr>
            <w:tcW w:type="dxa" w:w="6100"/>
            <w:vAlign w:val="center"/>
          </w:tcPr>
          <w:p>
            <w:pPr>
              <w:spacing w:after="0"/>
            </w:pPr>
            <w:r>
              <w:rPr>
                <w:rFonts w:ascii="Arial" w:hAnsi="Arial"/>
                <w:b w:val="0"/>
                <w:i w:val="0"/>
                <w:color w:val="304154"/>
                <w:sz w:val="16"/>
              </w:rPr>
              <w:t>Policy reviewed against current business model and risk appetite</w:t>
            </w:r>
          </w:p>
        </w:tc>
        <w:tc>
          <w:tcPr>
            <w:tcW w:type="dxa" w:w="3260"/>
            <w:vAlign w:val="center"/>
          </w:tcPr>
          <w:p>
            <w:pPr>
              <w:spacing w:after="0"/>
            </w:pPr>
            <w:r>
              <w:rPr>
                <w:rFonts w:ascii="Arial" w:hAnsi="Arial"/>
                <w:b w:val="0"/>
                <w:i w:val="0"/>
                <w:color w:val="304154"/>
                <w:sz w:val="16"/>
              </w:rPr>
            </w:r>
          </w:p>
        </w:tc>
      </w:tr>
      <w:tr>
        <w:tc>
          <w:tcPr>
            <w:tcW w:type="dxa" w:w="6100"/>
            <w:shd w:fill="F3F5F7"/>
            <w:vAlign w:val="center"/>
          </w:tcPr>
          <w:p>
            <w:pPr>
              <w:spacing w:after="0"/>
            </w:pPr>
            <w:r>
              <w:rPr>
                <w:rFonts w:ascii="Arial" w:hAnsi="Arial"/>
                <w:b w:val="0"/>
                <w:i w:val="0"/>
                <w:color w:val="304154"/>
                <w:sz w:val="16"/>
              </w:rPr>
              <w:t>Authority and segregation controls confirmed</w:t>
            </w:r>
          </w:p>
        </w:tc>
        <w:tc>
          <w:tcPr>
            <w:tcW w:type="dxa" w:w="3260"/>
            <w:shd w:fill="F3F5F7"/>
            <w:vAlign w:val="center"/>
          </w:tcPr>
          <w:p>
            <w:pPr>
              <w:spacing w:after="0"/>
            </w:pPr>
            <w:r>
              <w:rPr>
                <w:rFonts w:ascii="Arial" w:hAnsi="Arial"/>
                <w:b w:val="0"/>
                <w:i w:val="0"/>
                <w:color w:val="304154"/>
                <w:sz w:val="16"/>
              </w:rPr>
            </w:r>
          </w:p>
        </w:tc>
      </w:tr>
      <w:tr>
        <w:tc>
          <w:tcPr>
            <w:tcW w:type="dxa" w:w="6100"/>
            <w:vAlign w:val="center"/>
          </w:tcPr>
          <w:p>
            <w:pPr>
              <w:spacing w:after="0"/>
            </w:pPr>
            <w:r>
              <w:rPr>
                <w:rFonts w:ascii="Arial" w:hAnsi="Arial"/>
                <w:b w:val="0"/>
                <w:i w:val="0"/>
                <w:color w:val="304154"/>
                <w:sz w:val="16"/>
              </w:rPr>
              <w:t>Scoring model and risk bands validated</w:t>
            </w:r>
          </w:p>
        </w:tc>
        <w:tc>
          <w:tcPr>
            <w:tcW w:type="dxa" w:w="3260"/>
            <w:vAlign w:val="center"/>
          </w:tcPr>
          <w:p>
            <w:pPr>
              <w:spacing w:after="0"/>
            </w:pPr>
            <w:r>
              <w:rPr>
                <w:rFonts w:ascii="Arial" w:hAnsi="Arial"/>
                <w:b w:val="0"/>
                <w:i w:val="0"/>
                <w:color w:val="304154"/>
                <w:sz w:val="16"/>
              </w:rPr>
            </w:r>
          </w:p>
        </w:tc>
      </w:tr>
      <w:tr>
        <w:tc>
          <w:tcPr>
            <w:tcW w:type="dxa" w:w="6100"/>
            <w:shd w:fill="F3F5F7"/>
            <w:vAlign w:val="center"/>
          </w:tcPr>
          <w:p>
            <w:pPr>
              <w:spacing w:after="0"/>
            </w:pPr>
            <w:r>
              <w:rPr>
                <w:rFonts w:ascii="Arial" w:hAnsi="Arial"/>
                <w:b w:val="0"/>
                <w:i w:val="0"/>
                <w:color w:val="304154"/>
                <w:sz w:val="16"/>
              </w:rPr>
              <w:t>Portfolio exceptions and concentrations reviewed</w:t>
            </w:r>
          </w:p>
        </w:tc>
        <w:tc>
          <w:tcPr>
            <w:tcW w:type="dxa" w:w="3260"/>
            <w:shd w:fill="F3F5F7"/>
            <w:vAlign w:val="center"/>
          </w:tcPr>
          <w:p>
            <w:pPr>
              <w:spacing w:after="0"/>
            </w:pPr>
            <w:r>
              <w:rPr>
                <w:rFonts w:ascii="Arial" w:hAnsi="Arial"/>
                <w:b w:val="0"/>
                <w:i w:val="0"/>
                <w:color w:val="304154"/>
                <w:sz w:val="16"/>
              </w:rPr>
            </w:r>
          </w:p>
        </w:tc>
      </w:tr>
      <w:tr>
        <w:tc>
          <w:tcPr>
            <w:tcW w:type="dxa" w:w="6100"/>
            <w:vAlign w:val="center"/>
          </w:tcPr>
          <w:p>
            <w:pPr>
              <w:spacing w:after="0"/>
            </w:pPr>
            <w:r>
              <w:rPr>
                <w:rFonts w:ascii="Arial" w:hAnsi="Arial"/>
                <w:b w:val="0"/>
                <w:i w:val="0"/>
                <w:color w:val="304154"/>
                <w:sz w:val="16"/>
              </w:rPr>
              <w:t>Required users trained and access confirmed</w:t>
            </w:r>
          </w:p>
        </w:tc>
        <w:tc>
          <w:tcPr>
            <w:tcW w:type="dxa" w:w="3260"/>
            <w:vAlign w:val="center"/>
          </w:tcPr>
          <w:p>
            <w:pPr>
              <w:spacing w:after="0"/>
            </w:pPr>
            <w:r>
              <w:rPr>
                <w:rFonts w:ascii="Arial" w:hAnsi="Arial"/>
                <w:b w:val="0"/>
                <w:i w:val="0"/>
                <w:color w:val="304154"/>
                <w:sz w:val="16"/>
              </w:rPr>
            </w:r>
          </w:p>
        </w:tc>
      </w:tr>
      <w:tr>
        <w:tc>
          <w:tcPr>
            <w:tcW w:type="dxa" w:w="6100"/>
            <w:shd w:fill="F3F5F7"/>
            <w:vAlign w:val="center"/>
          </w:tcPr>
          <w:p>
            <w:pPr>
              <w:spacing w:after="0"/>
            </w:pPr>
            <w:r>
              <w:rPr>
                <w:rFonts w:ascii="Arial" w:hAnsi="Arial"/>
                <w:b w:val="0"/>
                <w:i w:val="0"/>
                <w:color w:val="304154"/>
                <w:sz w:val="16"/>
              </w:rPr>
              <w:t>Executive approval and effective date recorded</w:t>
            </w:r>
          </w:p>
        </w:tc>
        <w:tc>
          <w:tcPr>
            <w:tcW w:type="dxa" w:w="3260"/>
            <w:shd w:fill="F3F5F7"/>
            <w:vAlign w:val="center"/>
          </w:tcPr>
          <w:p>
            <w:pPr>
              <w:spacing w:after="0"/>
            </w:pPr>
            <w:r>
              <w:rPr>
                <w:rFonts w:ascii="Arial" w:hAnsi="Arial"/>
                <w:b w:val="0"/>
                <w:i w:val="0"/>
                <w:color w:val="304154"/>
                <w:sz w:val="16"/>
              </w:rPr>
            </w:r>
          </w:p>
        </w:tc>
      </w:tr>
    </w:tbl>
    <w:p>
      <w:pPr>
        <w:spacing w:after="0"/>
      </w:pPr>
    </w:p>
    <w:p>
      <w:pPr>
        <w:pStyle w:val="Heading1"/>
      </w:pPr>
      <w:r>
        <w:t>Professional Use and Important Limitations</w:t>
      </w:r>
    </w:p>
    <w:p>
      <w:r>
        <w:t>This policy template is not legal, accounting, lending, credit-reporting, privacy, collection, sanctions, bankruptcy, insurance, or tax advice. Customize it for applicable law, contracts, jurisdictions, business model, and qualified professional guidance before adoption.</w:t>
      </w:r>
    </w:p>
    <w:sectPr w:rsidR="00FC693F" w:rsidRPr="0006063C" w:rsidSect="00034616">
      <w:headerReference w:type="default" r:id="rId9"/>
      <w:footerReference w:type="default" r:id="rId10"/>
      <w:headerReference w:type="even" r:id="rId11"/>
      <w:footerReference w:type="even" r:id="rId12"/>
      <w:pgSz w:w="12240" w:h="15840"/>
      <w:pgMar w:top="1037" w:right="1181" w:bottom="1008" w:left="1181" w:header="475" w:footer="47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7778B"/>
        <w:sz w:val="15"/>
      </w:rPr>
      <w:t>CFOS — Cash Flow &amp; Profit Optimization System  •  support@RubiBusinessPlaybooks.com</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7778B"/>
        <w:sz w:val="15"/>
      </w:rPr>
      <w:t>CFOS — Cash Flow &amp; Profit Optimization System  •  support@RubiBusinessPlaybooks.com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67778B"/>
        <w:sz w:val="16"/>
      </w:rPr>
      <w:t>RUBI BUSINESS PLAYBOOKS  |  CFOS CUSTOMER CREDIT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67778B"/>
        <w:sz w:val="16"/>
      </w:rPr>
      <w:t>RUBI BUSINESS PLAYBOOKS  |  CFOS CUSTOMER CREDIT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304154"/>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11274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C7972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b/>
      <w:color w:val="11274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rial" w:hAnsi="Arial"/>
      <w:b w:val="0"/>
      <w:i/>
      <w:iCs/>
      <w:color w:val="304154"/>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Credit Policy</dc:title>
  <dc:subject/>
  <dc:creator>RUBI Business Playbooks</dc:creator>
  <cp:keywords/>
  <dc:description>generated by python-docx</dc:description>
  <cp:lastModifiedBy/>
  <cp:revision>1</cp:revision>
  <dcterms:created xsi:type="dcterms:W3CDTF">2013-12-23T23:15:00Z</dcterms:created>
  <dcterms:modified xsi:type="dcterms:W3CDTF">2013-12-23T23:15:00Z</dcterms:modified>
  <cp:category/>
</cp:coreProperties>
</file>