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B88A2B"/>
        </w:rPr>
        <w:t>RUBI BUSINESS PLAYBOOKS</w:t>
      </w:r>
    </w:p>
    <w:p>
      <w:r>
        <w:t>Acquisition Operating System™</w:t>
      </w:r>
    </w:p>
    <w:p>
      <w:pPr>
        <w:pStyle w:val="Title"/>
      </w:pPr>
      <w:r>
        <w:t>Valuation Method Reconciliation Report</w:t>
      </w:r>
    </w:p>
    <w:p>
      <w:r>
        <w:t>Reconcile the accepted valuation methods, transaction conventions and complete price bridges into a supported acquisition range and a bounded decision recommendation. Explain why methods disagree, which are relevant and what remains unresolved. This report preserves evidence and judgment; it does not replace an appraisal, professional opinion, lender decision or actual offer approval.</w:t>
      </w:r>
    </w:p>
    <w:tbl>
      <w:tblPr>
        <w:tblW w:type="auto" w:w="0"/>
        <w:tblLayout w:type="fixed"/>
        <w:tblLook w:firstColumn="1" w:firstRow="1" w:lastColumn="0" w:lastRow="0" w:noHBand="0" w:noVBand="1" w:val="04A0"/>
      </w:tblPr>
      <w:tblGrid>
        <w:gridCol w:w="4452"/>
        <w:gridCol w:w="5628"/>
      </w:tblGrid>
      <w:tr>
        <w:trPr>
          <w:trHeight w:val="490" w:hRule="atLeast"/>
          <w:cantSplit/>
          <w:tblHeader/>
        </w:trPr>
        <w:tc>
          <w:tcPr>
            <w:tcW w:type="dxa" w:w="4452"/>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Record field</w:t>
            </w:r>
          </w:p>
        </w:tc>
        <w:tc>
          <w:tcPr>
            <w:tcW w:type="dxa" w:w="5628"/>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Entry and evidence</w:t>
            </w:r>
          </w:p>
        </w:tc>
      </w:tr>
      <w:tr>
        <w:trPr>
          <w:trHeight w:val="432" w:hRule="atLeast"/>
          <w:cantSplit/>
        </w:trPr>
        <w:tc>
          <w:tcPr>
            <w:tcW w:type="dxa" w:w="4452"/>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Report ID / target / included entities / ownership perimeter</w:t>
            </w:r>
          </w:p>
        </w:tc>
        <w:tc>
          <w:tcPr>
            <w:tcW w:type="dxa" w:w="5628"/>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Valuation date / comparable financial period / currency / units</w:t>
            </w:r>
          </w:p>
        </w:tc>
        <w:tc>
          <w:tcPr>
            <w:tcW w:type="dxa" w:w="5628"/>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Decision sought / offer and structure version / actual authority</w:t>
            </w:r>
          </w:p>
        </w:tc>
        <w:tc>
          <w:tcPr>
            <w:tcW w:type="dxa" w:w="5628"/>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Report preparer / independent reviewer / specialist scope</w:t>
            </w:r>
          </w:p>
        </w:tc>
        <w:tc>
          <w:tcPr>
            <w:tcW w:type="dxa" w:w="5628"/>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Chosen common value basis / cash-debt / working-capital conventions</w:t>
            </w:r>
          </w:p>
        </w:tc>
        <w:tc>
          <w:tcPr>
            <w:tcW w:type="dxa" w:w="5628"/>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Source cut-off / report version / next review date</w:t>
            </w:r>
          </w:p>
        </w:tc>
        <w:tc>
          <w:tcPr>
            <w:tcW w:type="dxa" w:w="5628"/>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Establish scope and data cut-off</w:t>
      </w:r>
    </w:p>
    <w:p>
      <w:r>
        <w:t>The finance lead defines the valuation objective and actual decision, included entities and assets, ownership stake, current stage and permitted recipients. Identify data cut-off and valuation date separately. List the accepted Folder 07 maintainable earnings and defined cash measures with their versions, and distinguish interim trading from complete historical periods. State assumptions, known omissions, specialist engagement scope and unresolved requests. Restrict circulation to the actual information permissions. Do not present seller marketing figures, analyst forecasts and independently reviewed facts as one undifferentiated source population.</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Source / accepted version / date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Entity / period / measure definition</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Performed reconciliation / reviewer / limits</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Map method outputs before comparing them</w:t>
      </w:r>
    </w:p>
    <w:p>
      <w:r>
        <w:t>For every method record original value, original basis, source convention, scope and confidence. Convert enterprise and equity values using an explicit schedule rather than silently blending. SDE deal conventions can exclude inventory or include different owner assumptions; asset-based net assets are an equity proxy; FCFF DCF gives operating enterprise value; equity distributions give buyer initial equity outlay at the hurdle. Identify nonoperating assets, included debt-like balances, eligible cash, assumed liabilities and working-capital adjustments once. Preserve conversion signs and document where a method cannot be converted credibly.</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Method / original value and basis</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Accepted conversion / common basis value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Evidence / limits / include or exclude rationale</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EBITDA multiple</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Single-owner SDE convention</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Enterprise FCFF DCF</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Comparable transactions</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Public reference scenario</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Selected net asset equity</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Reconcile the operating enterprise-to-equity bridge</w:t>
      </w:r>
    </w:p>
    <w:p>
      <w:r>
        <w:t>Begin with common-perimeter operating enterprise value. Subtract included debt-like items, add eligible excess cash only if not already netted, and add or subtract separately excluded nonoperating assets and obligations. Record the signed net-debt definition and reconcile to actual closing debt and cash rather than assuming all cash is freely available. Test restricted cash, leases, deferred taxes, pension obligations, minority interests, contingent payments and seller-retained assets under actual deal terms. Working capital and other purchase adjustments follow the agreed mechanism separately. A negative bridge result remains visible and requires review of transaction feasibility.</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Bridge item / sign convention</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Amount / included accounts / source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Reviewer / double-count test / remaining limitation</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Operating enterprise value</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Less included debt-like obligations</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Plus eligible cash not already netted</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Plus / minus nonoperating adjustments</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Equity proxy before separate true-ups</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Working-capital and other agreed true-ups</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Defined seller consideration</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Explain differences in economic drivers</w:t>
      </w:r>
    </w:p>
    <w:p>
      <w:r>
        <w:t>Separate earnings denominator differences from multiple differences and source convention differences. Reconcile owner replacement and revenue sustainability before attributing dispersion to the market. Identify size, sector, growth, control, liquidity, distress and transaction date effects in comparable sets; do not apply the same effect twice. For DCF review matched cash-flow and discount-rate basis, reinvestment and terminal value dependence. For selected assets review appraisal premise and completeness rather than calling the lower value a guaranteed floor. Quantify each material bridge where support permits and retain unknown effects explicitly.</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Difference / assertion / affected method</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Dollar or multiple effect / evidence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Accepted treatment / owner / follow-up</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Select methods and justify weights</w:t>
      </w:r>
    </w:p>
    <w:p>
      <w:r>
        <w:t>State which methods are relevant to this target and why. Exclude unsupported or incompatible methods with a recorded reason and preserve the rejected value. Weight only methods converted to the chosen common basis; weights must sum to one hundred percent. Recognize correlation between EBITDA and transaction multiple approaches and avoid presenting their convergence as multiple independent confirmations. Test the selected blend and range under changed weights and key assumptions. A weighted point is a structured judgment, not a statistically established fair value. Retain the lower and higher supported cases and the uncertainty that changes the decision.</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Active method / accepted common-basis value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Weight / contribution / rationale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Sensitivity / evidence / reviewer</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Keep standalone synergy and residual risk distinct</w:t>
      </w:r>
    </w:p>
    <w:p>
      <w:r>
        <w:t>Conclude standalone operating value first. Support buyer-specific cost savings and incremental revenue contribution with timing, capacity, owner and capture evidence. Reconcile gross run-rate capitalization to net synergy by deducting dated present value of costs absent from its earnings basis. State the limitations of a run-rate proxy versus timed cash-flow valuation. Residual risk scenarios identify effects already in maintainable earnings, selected multiple, discount rate, capture or contractual protection. Count-based haircuts and caps are illustrative; an unquantifiable prerequisite can require a hold rather than a larger discount. Show which party retains the net benefit at the proposed price.</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Scenario / standalone value / source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Net synergy or residual effect / calculation</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Buyer-specific value / limits / reviewer</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Standalone accepted case</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Supported net synergy case</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Residual downside case</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Offer premium and retained cushion</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Reconcile funding and return to seller consideration</w:t>
      </w:r>
    </w:p>
    <w:p>
      <w:r>
        <w:t>Build full sources and uses with committed usable debt, buyer equity, seller financing and contingent obligations. Include debt refinancing, fees, taxes, integration, capex, operating working capital and buyer reserves once under the actual consideration convention. Debt-service cash and existing obligations must match lender definitions; model annuity capacity is not approval. Separately calculate maximum initial buyer equity outlay at the required return using supported distributions and net exit equity proceeds. Convert that outlay and funding capacity to the same seller consideration basis before comparing them in 08.20. Document conversions, financing conditions and any residual funding gap.</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Ceiling or use / original basis</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Complete conversion / common consideration value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Support / condition / owner / review</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Return-based maximum equity outlay</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Funding-based capacity after other uses</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Common-basis binding ceiling</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Proposed consideration and terms</w:t>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Remaining funding gap / negotiation cushion</w:t>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Record downside and timing sensitivity</w:t>
      </w:r>
    </w:p>
    <w:p>
      <w:r>
        <w:t>Run lower earnings, reduced exit multiple, delayed synergies, additional implementation costs and less favorable financing together where risks are related. Keep negative equity values and unavailable ratios visible. Review terminal growth and discount-rate sensitivity independently and paired. Check annual equity IRR against its NPV residual and disclose dated-flow, later-contribution and investor-waterfall limitations. The simple nine-case multiple grid cannot represent every acquisition stress. State which downside is supported, which is speculative and which actual condition prevents a bounded next step.</w:t>
      </w:r>
    </w:p>
    <w:tbl>
      <w:tblPr>
        <w:tblW w:type="auto" w:w="0"/>
        <w:tblLayout w:type="fixed"/>
        <w:tblLook w:firstColumn="1" w:firstRow="1" w:lastColumn="0" w:lastRow="0" w:noHBand="0" w:noVBand="1" w:val="04A0"/>
      </w:tblPr>
      <w:tblGrid>
        <w:gridCol w:w="3360"/>
        <w:gridCol w:w="3360"/>
        <w:gridCol w:w="3360"/>
      </w:tblGrid>
      <w:tr>
        <w:trPr>
          <w:trHeight w:val="490" w:hRule="atLeast"/>
          <w:cantSplit/>
          <w:tblHeader/>
        </w:trPr>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Scenario / changed assumption / source</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Value / funding / return effect</w:t>
            </w:r>
          </w:p>
        </w:tc>
        <w:tc>
          <w:tcPr>
            <w:tcW w:type="dxa" w:w="3360"/>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Accepted consequence / action / owner</w:t>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c>
          <w:tcPr>
            <w:tcW w:type="dxa" w:w="3360"/>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Worked common-basis reconciliation</w:t>
      </w:r>
    </w:p>
    <w:p>
      <w:r>
        <w:t>Illustrative standalone methods produce $6m earnings EV and $5.6m enterprise DCF. The selected asset result is $1.2m net asset equity and has a distinct premise; it is excluded from going-concern weighting with rationale. Earnings and DCF at 60 and 40 percent give $5.84m operating EV. Less $800k signed net debt plus $100k separately excluded nonoperating assets gives $5.14m equity proxy before agreed true-ups. Net buyer synergy $300k is shown separately. An agreed working-capital shortfall $40k lowers the illustrative defined seller consideration by $40k. Full sources and uses then includes $250k buyer costs and reserve; these costs are not silently subtracted from operating EV or omitted from equity funding. Finance converts the return outlay ceiling before comparing it with the funding ceiling.</w:t>
      </w:r>
    </w:p>
    <w:p>
      <w:pPr>
        <w:pStyle w:val="Heading1"/>
      </w:pPr>
      <w:r>
        <w:t>Recommend a bounded action and preserve exceptions</w:t>
      </w:r>
    </w:p>
    <w:p>
      <w:r>
        <w:t>State the supported standalone range, selected point, buyer-specific value scenario, common consideration basis, effective converted ceiling and proposed next action. Explain the uncertainties most likely to change the decision and whether they require further information, changed terms, hold or decline. Actual authority approves permitted action, not the report author. Record conditions, owner, controlled decision reference, expiry and prohibited reliance while prerequisites remain unresolved. Keep rejected methods, superseded assumptions and source holds with the accepted report so later diligence cannot mistake a preliminary case for final approval.</w:t>
      </w:r>
    </w:p>
    <w:tbl>
      <w:tblPr>
        <w:tblW w:type="auto" w:w="0"/>
        <w:tblLayout w:type="fixed"/>
        <w:tblLook w:firstColumn="1" w:firstRow="1" w:lastColumn="0" w:lastRow="0" w:noHBand="0" w:noVBand="1" w:val="04A0"/>
      </w:tblPr>
      <w:tblGrid>
        <w:gridCol w:w="4452"/>
        <w:gridCol w:w="5628"/>
      </w:tblGrid>
      <w:tr>
        <w:trPr>
          <w:trHeight w:val="490" w:hRule="atLeast"/>
          <w:cantSplit/>
          <w:tblHeader/>
        </w:trPr>
        <w:tc>
          <w:tcPr>
            <w:tcW w:type="dxa" w:w="4452"/>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Record field</w:t>
            </w:r>
          </w:p>
        </w:tc>
        <w:tc>
          <w:tcPr>
            <w:tcW w:type="dxa" w:w="5628"/>
            <w:vAlign w:val="center"/>
            <w:shd w:fill="102B46"/>
            <w:tcBorders>
              <w:top w:val="single" w:sz="4" w:color="D9D9D9"/>
              <w:left w:val="single" w:sz="4" w:color="D9D9D9"/>
              <w:bottom w:val="single" w:sz="4" w:color="D9D9D9"/>
              <w:right w:val="single" w:sz="4" w:color="D9D9D9"/>
            </w:tcBorders>
          </w:tcPr>
          <w:p>
            <w:pPr>
              <w:spacing w:before="80" w:after="80"/>
            </w:pPr>
            <w:r>
              <w:rPr>
                <w:b/>
                <w:color w:val="FFFFFF"/>
                <w:sz w:val="20"/>
              </w:rPr>
              <w:t>Entry and evidence</w:t>
            </w:r>
          </w:p>
        </w:tc>
      </w:tr>
      <w:tr>
        <w:trPr>
          <w:trHeight w:val="432" w:hRule="atLeast"/>
          <w:cantSplit/>
        </w:trPr>
        <w:tc>
          <w:tcPr>
            <w:tcW w:type="dxa" w:w="4452"/>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Supported range / selected point / common basis / material uncertainty</w:t>
            </w:r>
          </w:p>
        </w:tc>
        <w:tc>
          <w:tcPr>
            <w:tcW w:type="dxa" w:w="5628"/>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Buyer-specific scenario / residual risks / accepted limits</w:t>
            </w:r>
          </w:p>
        </w:tc>
        <w:tc>
          <w:tcPr>
            <w:tcW w:type="dxa" w:w="5628"/>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Defined consideration ceiling / offer / cushion / complete funding gap</w:t>
            </w:r>
          </w:p>
        </w:tc>
        <w:tc>
          <w:tcPr>
            <w:tcW w:type="dxa" w:w="5628"/>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Recommendation / bounded task / owner / due / conditions</w:t>
            </w:r>
          </w:p>
        </w:tc>
        <w:tc>
          <w:tcPr>
            <w:tcW w:type="dxa" w:w="5628"/>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t>Actual authority / controlled decision reference / date / expiry</w:t>
            </w:r>
          </w:p>
        </w:tc>
        <w:tc>
          <w:tcPr>
            <w:tcW w:type="dxa" w:w="5628"/>
            <w:vAlign w:val="center"/>
            <w:shd w:fill="FFFFFF"/>
            <w:tcBorders>
              <w:top w:val="single" w:sz="4" w:color="D9D9D9"/>
              <w:left w:val="single" w:sz="4" w:color="D9D9D9"/>
              <w:bottom w:val="single" w:sz="4" w:color="D9D9D9"/>
              <w:right w:val="single" w:sz="4" w:color="D9D9D9"/>
            </w:tcBorders>
          </w:tcPr>
          <w:p>
            <w:pPr>
              <w:spacing w:before="80" w:after="80"/>
            </w:pPr>
            <w:r>
              <w:rPr>
                <w:b w:val="0"/>
                <w:color w:val="24313D"/>
                <w:sz w:val="20"/>
              </w:rPr>
            </w:r>
          </w:p>
        </w:tc>
      </w:tr>
      <w:tr>
        <w:trPr>
          <w:trHeight w:val="432" w:hRule="atLeast"/>
          <w:cantSplit/>
        </w:trPr>
        <w:tc>
          <w:tcPr>
            <w:tcW w:type="dxa" w:w="4452"/>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t>Receiving finance and legal reviewers / acknowledgment / next trigger</w:t>
            </w:r>
          </w:p>
        </w:tc>
        <w:tc>
          <w:tcPr>
            <w:tcW w:type="dxa" w:w="5628"/>
            <w:vAlign w:val="center"/>
            <w:shd w:fill="F1F4F7"/>
            <w:tcBorders>
              <w:top w:val="single" w:sz="4" w:color="D9D9D9"/>
              <w:left w:val="single" w:sz="4" w:color="D9D9D9"/>
              <w:bottom w:val="single" w:sz="4" w:color="D9D9D9"/>
              <w:right w:val="single" w:sz="4" w:color="D9D9D9"/>
            </w:tcBorders>
          </w:tcPr>
          <w:p>
            <w:pPr>
              <w:spacing w:before="80" w:after="80"/>
            </w:pPr>
            <w:r>
              <w:rPr>
                <w:b w:val="0"/>
                <w:color w:val="24313D"/>
                <w:sz w:val="20"/>
              </w:rPr>
            </w:r>
          </w:p>
        </w:tc>
      </w:tr>
    </w:tbl>
    <w:p>
      <w:pPr>
        <w:spacing w:before="0" w:after="0" w:line="40" w:lineRule="exact"/>
      </w:pPr>
      <w:r>
        <w:rPr>
          <w:sz w:val="4"/>
        </w:rPr>
      </w:r>
    </w:p>
    <w:p>
      <w:pPr>
        <w:pStyle w:val="Heading1"/>
      </w:pPr>
      <w:r>
        <w:t>Refresh and measure the reconciliation</w:t>
      </w:r>
    </w:p>
    <w:p>
      <w:r>
        <w:t>Refresh after a material earnings correction, revised appraisal, changed debt terms, current market observation, new consent finding, integration cost update or closing working-capital statement. Retain dated versions and a change summary showing assumptions and downstream files that need rerunning. Track unsupported active methods, unmatched value bridges, omitted uses, overdue material exceptions and decisions reopened after new evidence. These measures improve review quality rather than certify market accuracy. Close the report cycle only when the receiving owners accept the packet and actual restrictions and next review are recorded.</w:t>
      </w:r>
    </w:p>
    <w:p>
      <w:pPr>
        <w:pStyle w:val="Heading1"/>
      </w:pPr>
      <w:r>
        <w:t>Professional review and measure definitions</w:t>
      </w:r>
    </w:p>
    <w:p>
      <w:r>
        <w:t>Use qualified valuation, financial, tax, legal and operating professionals for material judgments and actual transaction documentation. The tools are planning aids and do not render an appraisal, fairness opinion, specialist earnings opinion or financing commitment. SEC staff guidance provides background on consistent earnings adjustments and clearly defined cash measures; applicability of securities requirements depends on actual facts: https://www.sec.gov/rules-regulations/staff-guidance/corporation-finance-interpretations/non-gaap-financial-measures. Preserve source definitions and reconciliations rather than inferring discretionary cash from an undefined free-cash-flow label.</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RUBI Business Playbooks | Acquisition Operating System™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RUBI Business Playbooks | Acquisition Operating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02B46"/>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02B4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02B4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