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hros-hr-department-operating-system"/>
    <w:p>
      <w:pPr>
        <w:pStyle w:val="Heading1"/>
      </w:pPr>
      <w:r>
        <w:t xml:space="preserve">HROS™ — HR Department Operating System</w:t>
      </w:r>
    </w:p>
    <w:bookmarkStart w:id="26" w:name="clean-table-of-contents"/>
    <w:p>
      <w:pPr>
        <w:pStyle w:val="Heading2"/>
      </w:pPr>
      <w:r>
        <w:t xml:space="preserve">Clean Table of Contents</w:t>
      </w:r>
    </w:p>
    <w:bookmarkStart w:id="9" w:name="executive-command-center"/>
    <w:p>
      <w:pPr>
        <w:pStyle w:val="Heading3"/>
      </w:pPr>
      <w:r>
        <w:t xml:space="preserve">01 — Executive Command Center</w:t>
      </w:r>
    </w:p>
    <w:p>
      <w:pPr>
        <w:pStyle w:val="Compact"/>
        <w:numPr>
          <w:ilvl w:val="0"/>
          <w:numId w:val="1001"/>
        </w:numPr>
      </w:pPr>
      <w:r>
        <w:t xml:space="preserve">HROS Executive Command Center</w:t>
      </w:r>
    </w:p>
    <w:p>
      <w:pPr>
        <w:pStyle w:val="Compact"/>
        <w:numPr>
          <w:ilvl w:val="0"/>
          <w:numId w:val="1001"/>
        </w:numPr>
      </w:pPr>
      <w:r>
        <w:t xml:space="preserve">Copyright &amp; End User License Agreement</w:t>
      </w:r>
    </w:p>
    <w:p>
      <w:pPr>
        <w:pStyle w:val="Compact"/>
        <w:numPr>
          <w:ilvl w:val="0"/>
          <w:numId w:val="1001"/>
        </w:numPr>
      </w:pPr>
      <w:r>
        <w:t xml:space="preserve">Legal, Compliance &amp; Professional Use Disclaimer</w:t>
      </w:r>
    </w:p>
    <w:p>
      <w:pPr>
        <w:pStyle w:val="Compact"/>
        <w:numPr>
          <w:ilvl w:val="0"/>
          <w:numId w:val="1001"/>
        </w:numPr>
      </w:pPr>
      <w:r>
        <w:t xml:space="preserve">30-Day Satisfaction Guarantee</w:t>
      </w:r>
    </w:p>
    <w:bookmarkEnd w:id="9"/>
    <w:bookmarkStart w:id="10" w:name="launch-here"/>
    <w:p>
      <w:pPr>
        <w:pStyle w:val="Heading3"/>
      </w:pPr>
      <w:r>
        <w:t xml:space="preserve">02 — Launch Here</w:t>
      </w:r>
    </w:p>
    <w:p>
      <w:pPr>
        <w:pStyle w:val="Compact"/>
        <w:numPr>
          <w:ilvl w:val="0"/>
          <w:numId w:val="1002"/>
        </w:numPr>
      </w:pPr>
      <w:r>
        <w:t xml:space="preserve">Start Here — HROS Launch, Setup &amp; Implementation</w:t>
      </w:r>
    </w:p>
    <w:p>
      <w:pPr>
        <w:pStyle w:val="Compact"/>
        <w:numPr>
          <w:ilvl w:val="0"/>
          <w:numId w:val="1002"/>
        </w:numPr>
      </w:pPr>
      <w:r>
        <w:t xml:space="preserve">Start Here Guide</w:t>
      </w:r>
    </w:p>
    <w:p>
      <w:pPr>
        <w:pStyle w:val="Compact"/>
        <w:numPr>
          <w:ilvl w:val="0"/>
          <w:numId w:val="1002"/>
        </w:numPr>
      </w:pPr>
      <w:r>
        <w:t xml:space="preserve">How to Use HROS</w:t>
      </w:r>
    </w:p>
    <w:p>
      <w:pPr>
        <w:pStyle w:val="Compact"/>
        <w:numPr>
          <w:ilvl w:val="0"/>
          <w:numId w:val="1002"/>
        </w:numPr>
      </w:pPr>
      <w:r>
        <w:t xml:space="preserve">HROS Executive Summary</w:t>
      </w:r>
    </w:p>
    <w:p>
      <w:pPr>
        <w:pStyle w:val="Compact"/>
        <w:numPr>
          <w:ilvl w:val="0"/>
          <w:numId w:val="1002"/>
        </w:numPr>
      </w:pPr>
      <w:r>
        <w:t xml:space="preserve">HROS Quick Start Guide</w:t>
      </w:r>
    </w:p>
    <w:bookmarkEnd w:id="10"/>
    <w:bookmarkStart w:id="11" w:name="master-navigator-resource-index"/>
    <w:p>
      <w:pPr>
        <w:pStyle w:val="Heading3"/>
      </w:pPr>
      <w:r>
        <w:t xml:space="preserve">03 — Master Navigator &amp; Resource Index</w:t>
      </w:r>
    </w:p>
    <w:p>
      <w:pPr>
        <w:pStyle w:val="Compact"/>
        <w:numPr>
          <w:ilvl w:val="0"/>
          <w:numId w:val="1003"/>
        </w:numPr>
      </w:pPr>
      <w:r>
        <w:t xml:space="preserve">HROS Master Table of Contents</w:t>
      </w:r>
    </w:p>
    <w:p>
      <w:pPr>
        <w:pStyle w:val="Compact"/>
        <w:numPr>
          <w:ilvl w:val="0"/>
          <w:numId w:val="1003"/>
        </w:numPr>
      </w:pPr>
      <w:r>
        <w:t xml:space="preserve">HROS Smart Document Selector</w:t>
      </w:r>
    </w:p>
    <w:p>
      <w:pPr>
        <w:pStyle w:val="Compact"/>
        <w:numPr>
          <w:ilvl w:val="0"/>
          <w:numId w:val="1003"/>
        </w:numPr>
      </w:pPr>
      <w:r>
        <w:t xml:space="preserve">HROS AI Document Selector</w:t>
      </w:r>
    </w:p>
    <w:p>
      <w:pPr>
        <w:pStyle w:val="Compact"/>
        <w:numPr>
          <w:ilvl w:val="0"/>
          <w:numId w:val="1003"/>
        </w:numPr>
      </w:pPr>
      <w:r>
        <w:t xml:space="preserve">Master List of Templates by Module</w:t>
      </w:r>
    </w:p>
    <w:p>
      <w:pPr>
        <w:pStyle w:val="Compact"/>
        <w:numPr>
          <w:ilvl w:val="0"/>
          <w:numId w:val="1003"/>
        </w:numPr>
      </w:pPr>
      <w:r>
        <w:t xml:space="preserve">Master Alphabetical Template Index</w:t>
      </w:r>
    </w:p>
    <w:p>
      <w:pPr>
        <w:pStyle w:val="Compact"/>
        <w:numPr>
          <w:ilvl w:val="0"/>
          <w:numId w:val="1003"/>
        </w:numPr>
      </w:pPr>
      <w:r>
        <w:t xml:space="preserve">Master Table of Contents — Word Edition</w:t>
      </w:r>
    </w:p>
    <w:bookmarkEnd w:id="11"/>
    <w:bookmarkStart w:id="12" w:name="hr-system-diagnostics-assessments"/>
    <w:p>
      <w:pPr>
        <w:pStyle w:val="Heading3"/>
      </w:pPr>
      <w:r>
        <w:t xml:space="preserve">04 — HR System Diagnostics &amp; Assessments</w:t>
      </w:r>
    </w:p>
    <w:p>
      <w:pPr>
        <w:pStyle w:val="Compact"/>
        <w:numPr>
          <w:ilvl w:val="0"/>
          <w:numId w:val="1004"/>
        </w:numPr>
      </w:pPr>
      <w:r>
        <w:t xml:space="preserve">HR Infrastructure Assessment</w:t>
      </w:r>
    </w:p>
    <w:p>
      <w:pPr>
        <w:pStyle w:val="Compact"/>
        <w:numPr>
          <w:ilvl w:val="0"/>
          <w:numId w:val="1004"/>
        </w:numPr>
      </w:pPr>
      <w:r>
        <w:t xml:space="preserve">HR Department Readiness Scorecard</w:t>
      </w:r>
    </w:p>
    <w:p>
      <w:pPr>
        <w:pStyle w:val="Compact"/>
        <w:numPr>
          <w:ilvl w:val="0"/>
          <w:numId w:val="1004"/>
        </w:numPr>
      </w:pPr>
      <w:r>
        <w:t xml:space="preserve">HR Maturity Assessment</w:t>
      </w:r>
    </w:p>
    <w:p>
      <w:pPr>
        <w:pStyle w:val="Compact"/>
        <w:numPr>
          <w:ilvl w:val="0"/>
          <w:numId w:val="1004"/>
        </w:numPr>
      </w:pPr>
      <w:r>
        <w:t xml:space="preserve">HR Maturity Scorecard</w:t>
      </w:r>
    </w:p>
    <w:p>
      <w:pPr>
        <w:pStyle w:val="Compact"/>
        <w:numPr>
          <w:ilvl w:val="0"/>
          <w:numId w:val="1004"/>
        </w:numPr>
      </w:pPr>
      <w:r>
        <w:t xml:space="preserve">HR Maturity Scoring Guide</w:t>
      </w:r>
    </w:p>
    <w:p>
      <w:pPr>
        <w:pStyle w:val="Compact"/>
        <w:numPr>
          <w:ilvl w:val="0"/>
          <w:numId w:val="1004"/>
        </w:numPr>
      </w:pPr>
      <w:r>
        <w:t xml:space="preserve">HR Maturity Report</w:t>
      </w:r>
    </w:p>
    <w:p>
      <w:pPr>
        <w:pStyle w:val="Compact"/>
        <w:numPr>
          <w:ilvl w:val="0"/>
          <w:numId w:val="1004"/>
        </w:numPr>
      </w:pPr>
      <w:r>
        <w:t xml:space="preserve">HR Compliance Risk Assessment</w:t>
      </w:r>
    </w:p>
    <w:p>
      <w:pPr>
        <w:pStyle w:val="Compact"/>
        <w:numPr>
          <w:ilvl w:val="0"/>
          <w:numId w:val="1004"/>
        </w:numPr>
      </w:pPr>
      <w:r>
        <w:t xml:space="preserve">HR Risk Assessment Tool</w:t>
      </w:r>
    </w:p>
    <w:p>
      <w:pPr>
        <w:pStyle w:val="Compact"/>
        <w:numPr>
          <w:ilvl w:val="0"/>
          <w:numId w:val="1004"/>
        </w:numPr>
      </w:pPr>
      <w:r>
        <w:t xml:space="preserve">HR Risk Heat Map</w:t>
      </w:r>
    </w:p>
    <w:p>
      <w:pPr>
        <w:pStyle w:val="Compact"/>
        <w:numPr>
          <w:ilvl w:val="0"/>
          <w:numId w:val="1004"/>
        </w:numPr>
      </w:pPr>
      <w:r>
        <w:t xml:space="preserve">HR Risk Register</w:t>
      </w:r>
    </w:p>
    <w:p>
      <w:pPr>
        <w:pStyle w:val="Compact"/>
        <w:numPr>
          <w:ilvl w:val="0"/>
          <w:numId w:val="1004"/>
        </w:numPr>
      </w:pPr>
      <w:r>
        <w:t xml:space="preserve">Recruiting Audit Tool</w:t>
      </w:r>
    </w:p>
    <w:bookmarkEnd w:id="12"/>
    <w:bookmarkStart w:id="13" w:name="hr-financial-impact-early-warning-center"/>
    <w:p>
      <w:pPr>
        <w:pStyle w:val="Heading3"/>
      </w:pPr>
      <w:r>
        <w:t xml:space="preserve">05 — HR Financial Impact &amp; Early Warning Center</w:t>
      </w:r>
    </w:p>
    <w:p>
      <w:pPr>
        <w:pStyle w:val="Compact"/>
        <w:numPr>
          <w:ilvl w:val="0"/>
          <w:numId w:val="1005"/>
        </w:numPr>
      </w:pPr>
      <w:r>
        <w:t xml:space="preserve">HR System Health &amp; Early Warning Center</w:t>
      </w:r>
    </w:p>
    <w:p>
      <w:pPr>
        <w:pStyle w:val="Compact"/>
        <w:numPr>
          <w:ilvl w:val="0"/>
          <w:numId w:val="1005"/>
        </w:numPr>
      </w:pPr>
      <w:r>
        <w:t xml:space="preserve">Employee Turnover Cost Calculator</w:t>
      </w:r>
    </w:p>
    <w:p>
      <w:pPr>
        <w:pStyle w:val="Compact"/>
        <w:numPr>
          <w:ilvl w:val="0"/>
          <w:numId w:val="1005"/>
        </w:numPr>
      </w:pPr>
      <w:r>
        <w:t xml:space="preserve">Cost of Vacancy Calculator</w:t>
      </w:r>
    </w:p>
    <w:p>
      <w:pPr>
        <w:pStyle w:val="Compact"/>
        <w:numPr>
          <w:ilvl w:val="0"/>
          <w:numId w:val="1005"/>
        </w:numPr>
      </w:pPr>
      <w:r>
        <w:t xml:space="preserve">Absenteeism Cost Calculator</w:t>
      </w:r>
    </w:p>
    <w:p>
      <w:pPr>
        <w:pStyle w:val="Compact"/>
        <w:numPr>
          <w:ilvl w:val="0"/>
          <w:numId w:val="1005"/>
        </w:numPr>
      </w:pPr>
      <w:r>
        <w:t xml:space="preserve">Overtime Cost &amp; Dependency Calculator</w:t>
      </w:r>
    </w:p>
    <w:p>
      <w:pPr>
        <w:pStyle w:val="Compact"/>
        <w:numPr>
          <w:ilvl w:val="0"/>
          <w:numId w:val="1005"/>
        </w:numPr>
      </w:pPr>
      <w:r>
        <w:t xml:space="preserve">Bad Hire Cost Calculator</w:t>
      </w:r>
    </w:p>
    <w:p>
      <w:pPr>
        <w:pStyle w:val="Compact"/>
        <w:numPr>
          <w:ilvl w:val="0"/>
          <w:numId w:val="1005"/>
        </w:numPr>
      </w:pPr>
      <w:r>
        <w:t xml:space="preserve">HR Compliance Exposure Calculator</w:t>
      </w:r>
    </w:p>
    <w:p>
      <w:pPr>
        <w:pStyle w:val="Compact"/>
        <w:numPr>
          <w:ilvl w:val="0"/>
          <w:numId w:val="1005"/>
        </w:numPr>
      </w:pPr>
      <w:r>
        <w:t xml:space="preserve">Workforce Productivity Calculator</w:t>
      </w:r>
    </w:p>
    <w:p>
      <w:pPr>
        <w:pStyle w:val="Compact"/>
        <w:numPr>
          <w:ilvl w:val="0"/>
          <w:numId w:val="1005"/>
        </w:numPr>
      </w:pPr>
      <w:r>
        <w:t xml:space="preserve">Revenue per Employee Calculator</w:t>
      </w:r>
    </w:p>
    <w:p>
      <w:pPr>
        <w:pStyle w:val="Compact"/>
        <w:numPr>
          <w:ilvl w:val="0"/>
          <w:numId w:val="1005"/>
        </w:numPr>
      </w:pPr>
      <w:r>
        <w:t xml:space="preserve">Labor Cost % of Revenue Calculator</w:t>
      </w:r>
    </w:p>
    <w:p>
      <w:pPr>
        <w:pStyle w:val="Compact"/>
        <w:numPr>
          <w:ilvl w:val="0"/>
          <w:numId w:val="1005"/>
        </w:numPr>
      </w:pPr>
      <w:r>
        <w:t xml:space="preserve">Hiring ROI Calculator</w:t>
      </w:r>
    </w:p>
    <w:p>
      <w:pPr>
        <w:pStyle w:val="Compact"/>
        <w:numPr>
          <w:ilvl w:val="0"/>
          <w:numId w:val="1005"/>
        </w:numPr>
      </w:pPr>
      <w:r>
        <w:t xml:space="preserve">Training ROI Calculator</w:t>
      </w:r>
    </w:p>
    <w:p>
      <w:pPr>
        <w:pStyle w:val="Compact"/>
        <w:numPr>
          <w:ilvl w:val="0"/>
          <w:numId w:val="1005"/>
        </w:numPr>
      </w:pPr>
      <w:r>
        <w:t xml:space="preserve">Retention Investment ROI Calculator</w:t>
      </w:r>
    </w:p>
    <w:p>
      <w:pPr>
        <w:pStyle w:val="Compact"/>
        <w:numPr>
          <w:ilvl w:val="0"/>
          <w:numId w:val="1005"/>
        </w:numPr>
      </w:pPr>
      <w:r>
        <w:t xml:space="preserve">Manager Capacity / Span-of-Control Calculator</w:t>
      </w:r>
    </w:p>
    <w:p>
      <w:pPr>
        <w:pStyle w:val="Compact"/>
        <w:numPr>
          <w:ilvl w:val="0"/>
          <w:numId w:val="1005"/>
        </w:numPr>
      </w:pPr>
      <w:r>
        <w:t xml:space="preserve">Workforce Capacity Gap Calculator</w:t>
      </w:r>
    </w:p>
    <w:p>
      <w:pPr>
        <w:pStyle w:val="Compact"/>
        <w:numPr>
          <w:ilvl w:val="0"/>
          <w:numId w:val="1005"/>
        </w:numPr>
      </w:pPr>
      <w:r>
        <w:t xml:space="preserve">HR Risk Financial Exposure Calculator</w:t>
      </w:r>
    </w:p>
    <w:bookmarkEnd w:id="13"/>
    <w:bookmarkStart w:id="14" w:name="implementation-deployment-center"/>
    <w:p>
      <w:pPr>
        <w:pStyle w:val="Heading3"/>
      </w:pPr>
      <w:r>
        <w:t xml:space="preserve">06 — Implementation &amp; Deployment Center</w:t>
      </w:r>
    </w:p>
    <w:p>
      <w:pPr>
        <w:pStyle w:val="Compact"/>
        <w:numPr>
          <w:ilvl w:val="0"/>
          <w:numId w:val="1006"/>
        </w:numPr>
      </w:pPr>
      <w:r>
        <w:t xml:space="preserve">HROS Implementation &amp; Deployment Center</w:t>
      </w:r>
    </w:p>
    <w:p>
      <w:pPr>
        <w:pStyle w:val="Compact"/>
        <w:numPr>
          <w:ilvl w:val="0"/>
          <w:numId w:val="1006"/>
        </w:numPr>
      </w:pPr>
      <w:r>
        <w:t xml:space="preserve">Implementation Roadmap</w:t>
      </w:r>
    </w:p>
    <w:p>
      <w:pPr>
        <w:pStyle w:val="Compact"/>
        <w:numPr>
          <w:ilvl w:val="0"/>
          <w:numId w:val="1006"/>
        </w:numPr>
      </w:pPr>
      <w:r>
        <w:t xml:space="preserve">30-Day Implementation Roadmap</w:t>
      </w:r>
    </w:p>
    <w:p>
      <w:pPr>
        <w:pStyle w:val="Compact"/>
        <w:numPr>
          <w:ilvl w:val="0"/>
          <w:numId w:val="1006"/>
        </w:numPr>
      </w:pPr>
      <w:r>
        <w:t xml:space="preserve">Fast-Track Deployment</w:t>
      </w:r>
    </w:p>
    <w:p>
      <w:pPr>
        <w:pStyle w:val="Compact"/>
        <w:numPr>
          <w:ilvl w:val="0"/>
          <w:numId w:val="1006"/>
        </w:numPr>
      </w:pPr>
      <w:r>
        <w:t xml:space="preserve">Compliance-First Deployment</w:t>
      </w:r>
    </w:p>
    <w:p>
      <w:pPr>
        <w:pStyle w:val="Compact"/>
        <w:numPr>
          <w:ilvl w:val="0"/>
          <w:numId w:val="1006"/>
        </w:numPr>
      </w:pPr>
      <w:r>
        <w:t xml:space="preserve">Enterprise Rollout</w:t>
      </w:r>
    </w:p>
    <w:p>
      <w:pPr>
        <w:pStyle w:val="Compact"/>
        <w:numPr>
          <w:ilvl w:val="0"/>
          <w:numId w:val="1006"/>
        </w:numPr>
      </w:pPr>
      <w:r>
        <w:t xml:space="preserve">M&amp;A Integration Playbook</w:t>
      </w:r>
    </w:p>
    <w:p>
      <w:pPr>
        <w:pStyle w:val="Compact"/>
        <w:numPr>
          <w:ilvl w:val="0"/>
          <w:numId w:val="1006"/>
        </w:numPr>
      </w:pPr>
      <w:r>
        <w:t xml:space="preserve">Deployment Model Selector</w:t>
      </w:r>
    </w:p>
    <w:p>
      <w:pPr>
        <w:pStyle w:val="Compact"/>
        <w:numPr>
          <w:ilvl w:val="0"/>
          <w:numId w:val="1006"/>
        </w:numPr>
      </w:pPr>
      <w:r>
        <w:t xml:space="preserve">Implementation Models</w:t>
      </w:r>
    </w:p>
    <w:p>
      <w:pPr>
        <w:pStyle w:val="Compact"/>
        <w:numPr>
          <w:ilvl w:val="0"/>
          <w:numId w:val="1006"/>
        </w:numPr>
      </w:pPr>
      <w:r>
        <w:t xml:space="preserve">HTML Tools User Guide</w:t>
      </w:r>
    </w:p>
    <w:bookmarkEnd w:id="14"/>
    <w:bookmarkStart w:id="15" w:name="hr-operations-center"/>
    <w:p>
      <w:pPr>
        <w:pStyle w:val="Heading3"/>
      </w:pPr>
      <w:r>
        <w:t xml:space="preserve">07 — HR Operations Center</w:t>
      </w:r>
    </w:p>
    <w:p>
      <w:pPr>
        <w:pStyle w:val="Compact"/>
        <w:numPr>
          <w:ilvl w:val="0"/>
          <w:numId w:val="1007"/>
        </w:numPr>
      </w:pPr>
      <w:r>
        <w:t xml:space="preserve">HR Operating Maturity Score</w:t>
      </w:r>
    </w:p>
    <w:p>
      <w:pPr>
        <w:pStyle w:val="Compact"/>
        <w:numPr>
          <w:ilvl w:val="0"/>
          <w:numId w:val="1007"/>
        </w:numPr>
      </w:pPr>
      <w:r>
        <w:t xml:space="preserve">HR Risk &amp; Compliance Command Center</w:t>
      </w:r>
    </w:p>
    <w:p>
      <w:pPr>
        <w:pStyle w:val="Compact"/>
        <w:numPr>
          <w:ilvl w:val="0"/>
          <w:numId w:val="1007"/>
        </w:numPr>
      </w:pPr>
      <w:r>
        <w:t xml:space="preserve">HR Risk Reduction Plan</w:t>
      </w:r>
    </w:p>
    <w:p>
      <w:pPr>
        <w:pStyle w:val="Compact"/>
        <w:numPr>
          <w:ilvl w:val="0"/>
          <w:numId w:val="1007"/>
        </w:numPr>
      </w:pPr>
      <w:r>
        <w:t xml:space="preserve">HR Action Register</w:t>
      </w:r>
    </w:p>
    <w:p>
      <w:pPr>
        <w:pStyle w:val="Compact"/>
        <w:numPr>
          <w:ilvl w:val="0"/>
          <w:numId w:val="1007"/>
        </w:numPr>
      </w:pPr>
      <w:r>
        <w:t xml:space="preserve">HR Operating Calendar</w:t>
      </w:r>
    </w:p>
    <w:p>
      <w:pPr>
        <w:pStyle w:val="Compact"/>
        <w:numPr>
          <w:ilvl w:val="0"/>
          <w:numId w:val="1007"/>
        </w:numPr>
      </w:pPr>
      <w:r>
        <w:t xml:space="preserve">HR Decision Rights Matrix</w:t>
      </w:r>
    </w:p>
    <w:p>
      <w:pPr>
        <w:pStyle w:val="Compact"/>
        <w:numPr>
          <w:ilvl w:val="0"/>
          <w:numId w:val="1007"/>
        </w:numPr>
      </w:pPr>
      <w:r>
        <w:t xml:space="preserve">HR KPI Dashboard</w:t>
      </w:r>
    </w:p>
    <w:p>
      <w:pPr>
        <w:pStyle w:val="Compact"/>
        <w:numPr>
          <w:ilvl w:val="0"/>
          <w:numId w:val="1007"/>
        </w:numPr>
      </w:pPr>
      <w:r>
        <w:t xml:space="preserve">HR Cost &amp; ROI Center</w:t>
      </w:r>
    </w:p>
    <w:p>
      <w:pPr>
        <w:pStyle w:val="Compact"/>
        <w:numPr>
          <w:ilvl w:val="0"/>
          <w:numId w:val="1007"/>
        </w:numPr>
      </w:pPr>
      <w:r>
        <w:t xml:space="preserve">Workforce Planning Dashboard</w:t>
      </w:r>
    </w:p>
    <w:p>
      <w:pPr>
        <w:pStyle w:val="Compact"/>
        <w:numPr>
          <w:ilvl w:val="0"/>
          <w:numId w:val="1007"/>
        </w:numPr>
      </w:pPr>
      <w:r>
        <w:t xml:space="preserve">Turnover &amp; Retention Dashboard</w:t>
      </w:r>
    </w:p>
    <w:p>
      <w:pPr>
        <w:pStyle w:val="Compact"/>
        <w:numPr>
          <w:ilvl w:val="0"/>
          <w:numId w:val="1007"/>
        </w:numPr>
      </w:pPr>
      <w:r>
        <w:t xml:space="preserve">HR Employee Lifecycle Manager</w:t>
      </w:r>
    </w:p>
    <w:p>
      <w:pPr>
        <w:pStyle w:val="Compact"/>
        <w:numPr>
          <w:ilvl w:val="0"/>
          <w:numId w:val="1007"/>
        </w:numPr>
      </w:pPr>
      <w:r>
        <w:t xml:space="preserve">Performance Management Center</w:t>
      </w:r>
    </w:p>
    <w:p>
      <w:pPr>
        <w:pStyle w:val="Compact"/>
        <w:numPr>
          <w:ilvl w:val="0"/>
          <w:numId w:val="1007"/>
        </w:numPr>
      </w:pPr>
      <w:r>
        <w:t xml:space="preserve">Employee Relations Case Manager</w:t>
      </w:r>
    </w:p>
    <w:p>
      <w:pPr>
        <w:pStyle w:val="Compact"/>
        <w:numPr>
          <w:ilvl w:val="0"/>
          <w:numId w:val="1007"/>
        </w:numPr>
      </w:pPr>
      <w:r>
        <w:t xml:space="preserve">Termination Decision &amp; Documentation Center</w:t>
      </w:r>
    </w:p>
    <w:bookmarkEnd w:id="15"/>
    <w:bookmarkStart w:id="16" w:name="hr-workflows-sops"/>
    <w:p>
      <w:pPr>
        <w:pStyle w:val="Heading3"/>
      </w:pPr>
      <w:r>
        <w:t xml:space="preserve">08 — HR Workflows &amp; SOPs</w:t>
      </w:r>
    </w:p>
    <w:p>
      <w:pPr>
        <w:pStyle w:val="FirstParagraph"/>
      </w:pPr>
      <w:r>
        <w:rPr>
          <w:b/>
          <w:bCs/>
        </w:rPr>
        <w:t xml:space="preserve">Workflows</w:t>
      </w:r>
    </w:p>
    <w:p>
      <w:pPr>
        <w:pStyle w:val="Compact"/>
        <w:numPr>
          <w:ilvl w:val="0"/>
          <w:numId w:val="1008"/>
        </w:numPr>
      </w:pPr>
      <w:r>
        <w:t xml:space="preserve">Hire-to-Onboard Workflow</w:t>
      </w:r>
    </w:p>
    <w:p>
      <w:pPr>
        <w:pStyle w:val="Compact"/>
        <w:numPr>
          <w:ilvl w:val="0"/>
          <w:numId w:val="1008"/>
        </w:numPr>
      </w:pPr>
      <w:r>
        <w:t xml:space="preserve">Annual Performance Review Workflow</w:t>
      </w:r>
    </w:p>
    <w:p>
      <w:pPr>
        <w:pStyle w:val="Compact"/>
        <w:numPr>
          <w:ilvl w:val="0"/>
          <w:numId w:val="1008"/>
        </w:numPr>
      </w:pPr>
      <w:r>
        <w:t xml:space="preserve">Compensation Review Workflow</w:t>
      </w:r>
    </w:p>
    <w:p>
      <w:pPr>
        <w:pStyle w:val="Compact"/>
        <w:numPr>
          <w:ilvl w:val="0"/>
          <w:numId w:val="1008"/>
        </w:numPr>
      </w:pPr>
      <w:r>
        <w:t xml:space="preserve">Corrective Action Workflow</w:t>
      </w:r>
    </w:p>
    <w:p>
      <w:pPr>
        <w:pStyle w:val="Compact"/>
        <w:numPr>
          <w:ilvl w:val="0"/>
          <w:numId w:val="1008"/>
        </w:numPr>
      </w:pPr>
      <w:r>
        <w:t xml:space="preserve">Employee Complaint Workflow</w:t>
      </w:r>
    </w:p>
    <w:p>
      <w:pPr>
        <w:pStyle w:val="Compact"/>
        <w:numPr>
          <w:ilvl w:val="0"/>
          <w:numId w:val="1008"/>
        </w:numPr>
      </w:pPr>
      <w:r>
        <w:t xml:space="preserve">Employee Offboarding Workflow</w:t>
      </w:r>
    </w:p>
    <w:p>
      <w:pPr>
        <w:pStyle w:val="Compact"/>
        <w:numPr>
          <w:ilvl w:val="0"/>
          <w:numId w:val="1008"/>
        </w:numPr>
      </w:pPr>
      <w:r>
        <w:t xml:space="preserve">HR Compliance Correction Workflow</w:t>
      </w:r>
    </w:p>
    <w:p>
      <w:pPr>
        <w:pStyle w:val="Compact"/>
        <w:numPr>
          <w:ilvl w:val="0"/>
          <w:numId w:val="1008"/>
        </w:numPr>
      </w:pPr>
      <w:r>
        <w:t xml:space="preserve">Leave &amp; Accommodation Workflow</w:t>
      </w:r>
    </w:p>
    <w:p>
      <w:pPr>
        <w:pStyle w:val="Compact"/>
        <w:numPr>
          <w:ilvl w:val="0"/>
          <w:numId w:val="1008"/>
        </w:numPr>
      </w:pPr>
      <w:r>
        <w:t xml:space="preserve">Performance Improvement Workflow</w:t>
      </w:r>
    </w:p>
    <w:p>
      <w:pPr>
        <w:pStyle w:val="Compact"/>
        <w:numPr>
          <w:ilvl w:val="0"/>
          <w:numId w:val="1008"/>
        </w:numPr>
      </w:pPr>
      <w:r>
        <w:t xml:space="preserve">Policy Development Workflow</w:t>
      </w:r>
    </w:p>
    <w:p>
      <w:pPr>
        <w:pStyle w:val="Compact"/>
        <w:numPr>
          <w:ilvl w:val="0"/>
          <w:numId w:val="1008"/>
        </w:numPr>
      </w:pPr>
      <w:r>
        <w:t xml:space="preserve">Termination Workflow</w:t>
      </w:r>
    </w:p>
    <w:p>
      <w:pPr>
        <w:pStyle w:val="Compact"/>
        <w:numPr>
          <w:ilvl w:val="0"/>
          <w:numId w:val="1008"/>
        </w:numPr>
      </w:pPr>
      <w:r>
        <w:t xml:space="preserve">Workplace Injury Workflow</w:t>
      </w:r>
    </w:p>
    <w:p>
      <w:pPr>
        <w:pStyle w:val="Compact"/>
        <w:numPr>
          <w:ilvl w:val="0"/>
          <w:numId w:val="1008"/>
        </w:numPr>
      </w:pPr>
      <w:r>
        <w:t xml:space="preserve">Workplace Investigation Workflow</w:t>
      </w:r>
    </w:p>
    <w:p>
      <w:pPr>
        <w:pStyle w:val="Compact"/>
        <w:numPr>
          <w:ilvl w:val="0"/>
          <w:numId w:val="1008"/>
        </w:numPr>
      </w:pPr>
      <w:r>
        <w:t xml:space="preserve">Employee Documentation Framework</w:t>
      </w:r>
    </w:p>
    <w:p>
      <w:pPr>
        <w:pStyle w:val="Compact"/>
        <w:numPr>
          <w:ilvl w:val="0"/>
          <w:numId w:val="1008"/>
        </w:numPr>
      </w:pPr>
      <w:r>
        <w:t xml:space="preserve">Employee Separation Framework</w:t>
      </w:r>
    </w:p>
    <w:p>
      <w:pPr>
        <w:pStyle w:val="FirstParagraph"/>
      </w:pPr>
      <w:r>
        <w:rPr>
          <w:b/>
          <w:bCs/>
        </w:rPr>
        <w:t xml:space="preserve">Standard Operating Procedures</w:t>
      </w:r>
    </w:p>
    <w:p>
      <w:pPr>
        <w:pStyle w:val="Compact"/>
        <w:numPr>
          <w:ilvl w:val="0"/>
          <w:numId w:val="1009"/>
        </w:numPr>
      </w:pPr>
      <w:r>
        <w:t xml:space="preserve">Hiring a New Employee</w:t>
      </w:r>
    </w:p>
    <w:p>
      <w:pPr>
        <w:pStyle w:val="Compact"/>
        <w:numPr>
          <w:ilvl w:val="0"/>
          <w:numId w:val="1009"/>
        </w:numPr>
      </w:pPr>
      <w:r>
        <w:t xml:space="preserve">Processing a New Hire</w:t>
      </w:r>
    </w:p>
    <w:p>
      <w:pPr>
        <w:pStyle w:val="Compact"/>
        <w:numPr>
          <w:ilvl w:val="0"/>
          <w:numId w:val="1009"/>
        </w:numPr>
      </w:pPr>
      <w:r>
        <w:t xml:space="preserve">Conducting a Compensation Review</w:t>
      </w:r>
    </w:p>
    <w:p>
      <w:pPr>
        <w:pStyle w:val="Compact"/>
        <w:numPr>
          <w:ilvl w:val="0"/>
          <w:numId w:val="1009"/>
        </w:numPr>
      </w:pPr>
      <w:r>
        <w:t xml:space="preserve">Conducting Workplace Investigations</w:t>
      </w:r>
    </w:p>
    <w:p>
      <w:pPr>
        <w:pStyle w:val="Compact"/>
        <w:numPr>
          <w:ilvl w:val="0"/>
          <w:numId w:val="1009"/>
        </w:numPr>
      </w:pPr>
      <w:r>
        <w:t xml:space="preserve">Employee Offboarding</w:t>
      </w:r>
    </w:p>
    <w:p>
      <w:pPr>
        <w:pStyle w:val="Compact"/>
        <w:numPr>
          <w:ilvl w:val="0"/>
          <w:numId w:val="1009"/>
        </w:numPr>
      </w:pPr>
      <w:r>
        <w:t xml:space="preserve">Handling Workplace Injuries</w:t>
      </w:r>
    </w:p>
    <w:p>
      <w:pPr>
        <w:pStyle w:val="Compact"/>
        <w:numPr>
          <w:ilvl w:val="0"/>
          <w:numId w:val="1009"/>
        </w:numPr>
      </w:pPr>
      <w:r>
        <w:t xml:space="preserve">Managing a Performance Improvement Plan</w:t>
      </w:r>
    </w:p>
    <w:p>
      <w:pPr>
        <w:pStyle w:val="Compact"/>
        <w:numPr>
          <w:ilvl w:val="0"/>
          <w:numId w:val="1009"/>
        </w:numPr>
      </w:pPr>
      <w:r>
        <w:t xml:space="preserve">Managing Employee Discipline</w:t>
      </w:r>
    </w:p>
    <w:p>
      <w:pPr>
        <w:pStyle w:val="Compact"/>
        <w:numPr>
          <w:ilvl w:val="0"/>
          <w:numId w:val="1009"/>
        </w:numPr>
      </w:pPr>
      <w:r>
        <w:t xml:space="preserve">Managing FMLA Leave Requests</w:t>
      </w:r>
    </w:p>
    <w:p>
      <w:pPr>
        <w:pStyle w:val="Compact"/>
        <w:numPr>
          <w:ilvl w:val="0"/>
          <w:numId w:val="1009"/>
        </w:numPr>
      </w:pPr>
      <w:r>
        <w:t xml:space="preserve">Processing a Workers’ Compensation Claim</w:t>
      </w:r>
    </w:p>
    <w:p>
      <w:pPr>
        <w:pStyle w:val="Compact"/>
        <w:numPr>
          <w:ilvl w:val="0"/>
          <w:numId w:val="1009"/>
        </w:numPr>
      </w:pPr>
      <w:r>
        <w:t xml:space="preserve">Responding to an Employee Complaint</w:t>
      </w:r>
    </w:p>
    <w:bookmarkEnd w:id="16"/>
    <w:bookmarkStart w:id="17" w:name="ai-hr-tools-copilots"/>
    <w:p>
      <w:pPr>
        <w:pStyle w:val="Heading3"/>
      </w:pPr>
      <w:r>
        <w:t xml:space="preserve">09 — AI HR Tools &amp; Copilots</w:t>
      </w:r>
    </w:p>
    <w:p>
      <w:pPr>
        <w:pStyle w:val="Compact"/>
        <w:numPr>
          <w:ilvl w:val="0"/>
          <w:numId w:val="1010"/>
        </w:numPr>
      </w:pPr>
      <w:r>
        <w:t xml:space="preserve">HROS AI Tools Overview</w:t>
      </w:r>
    </w:p>
    <w:p>
      <w:pPr>
        <w:pStyle w:val="Compact"/>
        <w:numPr>
          <w:ilvl w:val="0"/>
          <w:numId w:val="1010"/>
        </w:numPr>
      </w:pPr>
      <w:r>
        <w:t xml:space="preserve">Instructions for AI Tools</w:t>
      </w:r>
    </w:p>
    <w:p>
      <w:pPr>
        <w:pStyle w:val="Compact"/>
        <w:numPr>
          <w:ilvl w:val="0"/>
          <w:numId w:val="1010"/>
        </w:numPr>
      </w:pPr>
      <w:r>
        <w:t xml:space="preserve">AI HR Executive Copilot</w:t>
      </w:r>
    </w:p>
    <w:p>
      <w:pPr>
        <w:pStyle w:val="Compact"/>
        <w:numPr>
          <w:ilvl w:val="0"/>
          <w:numId w:val="1010"/>
        </w:numPr>
      </w:pPr>
      <w:r>
        <w:t xml:space="preserve">Live AI Prompt Assistant</w:t>
      </w:r>
    </w:p>
    <w:p>
      <w:pPr>
        <w:pStyle w:val="Compact"/>
        <w:numPr>
          <w:ilvl w:val="0"/>
          <w:numId w:val="1010"/>
        </w:numPr>
      </w:pPr>
      <w:r>
        <w:t xml:space="preserve">AI Document Generator</w:t>
      </w:r>
    </w:p>
    <w:p>
      <w:pPr>
        <w:pStyle w:val="Compact"/>
        <w:numPr>
          <w:ilvl w:val="0"/>
          <w:numId w:val="1010"/>
        </w:numPr>
      </w:pPr>
      <w:r>
        <w:t xml:space="preserve">AI HR Policy Generator</w:t>
      </w:r>
    </w:p>
    <w:p>
      <w:pPr>
        <w:pStyle w:val="Compact"/>
        <w:numPr>
          <w:ilvl w:val="0"/>
          <w:numId w:val="1010"/>
        </w:numPr>
      </w:pPr>
      <w:r>
        <w:t xml:space="preserve">AI Policy &amp; Handbook Builder</w:t>
      </w:r>
    </w:p>
    <w:p>
      <w:pPr>
        <w:pStyle w:val="Compact"/>
        <w:numPr>
          <w:ilvl w:val="0"/>
          <w:numId w:val="1010"/>
        </w:numPr>
      </w:pPr>
      <w:r>
        <w:t xml:space="preserve">AI Job Description Generator</w:t>
      </w:r>
    </w:p>
    <w:p>
      <w:pPr>
        <w:pStyle w:val="Compact"/>
        <w:numPr>
          <w:ilvl w:val="0"/>
          <w:numId w:val="1010"/>
        </w:numPr>
      </w:pPr>
      <w:r>
        <w:t xml:space="preserve">AI-Powered Template Generator</w:t>
      </w:r>
    </w:p>
    <w:p>
      <w:pPr>
        <w:pStyle w:val="Compact"/>
        <w:numPr>
          <w:ilvl w:val="0"/>
          <w:numId w:val="1010"/>
        </w:numPr>
      </w:pPr>
      <w:r>
        <w:t xml:space="preserve">HR Compliance Assistant</w:t>
      </w:r>
    </w:p>
    <w:p>
      <w:pPr>
        <w:pStyle w:val="Compact"/>
        <w:numPr>
          <w:ilvl w:val="0"/>
          <w:numId w:val="1010"/>
        </w:numPr>
      </w:pPr>
      <w:r>
        <w:t xml:space="preserve">HR Risk Assessment</w:t>
      </w:r>
    </w:p>
    <w:p>
      <w:pPr>
        <w:pStyle w:val="Compact"/>
        <w:numPr>
          <w:ilvl w:val="0"/>
          <w:numId w:val="1010"/>
        </w:numPr>
      </w:pPr>
      <w:r>
        <w:t xml:space="preserve">HR Manager Toolkit</w:t>
      </w:r>
    </w:p>
    <w:p>
      <w:pPr>
        <w:pStyle w:val="Compact"/>
        <w:numPr>
          <w:ilvl w:val="0"/>
          <w:numId w:val="1010"/>
        </w:numPr>
      </w:pPr>
      <w:r>
        <w:t xml:space="preserve">System Implementation Tracker</w:t>
      </w:r>
    </w:p>
    <w:p>
      <w:pPr>
        <w:pStyle w:val="FirstParagraph"/>
      </w:pPr>
      <w:r>
        <w:rPr>
          <w:b/>
          <w:bCs/>
        </w:rPr>
        <w:t xml:space="preserve">AI Generators &amp; Assistants</w:t>
      </w:r>
    </w:p>
    <w:p>
      <w:pPr>
        <w:pStyle w:val="Compact"/>
        <w:numPr>
          <w:ilvl w:val="0"/>
          <w:numId w:val="1011"/>
        </w:numPr>
      </w:pPr>
      <w:r>
        <w:t xml:space="preserve">AI HR Operations Prompt Pack</w:t>
      </w:r>
    </w:p>
    <w:p>
      <w:pPr>
        <w:pStyle w:val="Compact"/>
        <w:numPr>
          <w:ilvl w:val="0"/>
          <w:numId w:val="1011"/>
        </w:numPr>
      </w:pPr>
      <w:r>
        <w:t xml:space="preserve">Compensation Review Assistant</w:t>
      </w:r>
    </w:p>
    <w:p>
      <w:pPr>
        <w:pStyle w:val="Compact"/>
        <w:numPr>
          <w:ilvl w:val="0"/>
          <w:numId w:val="1011"/>
        </w:numPr>
      </w:pPr>
      <w:r>
        <w:t xml:space="preserve">Corrective Action Generator</w:t>
      </w:r>
    </w:p>
    <w:p>
      <w:pPr>
        <w:pStyle w:val="Compact"/>
        <w:numPr>
          <w:ilvl w:val="0"/>
          <w:numId w:val="1011"/>
        </w:numPr>
      </w:pPr>
      <w:r>
        <w:t xml:space="preserve">Employee Relations Generator</w:t>
      </w:r>
    </w:p>
    <w:p>
      <w:pPr>
        <w:pStyle w:val="Compact"/>
        <w:numPr>
          <w:ilvl w:val="0"/>
          <w:numId w:val="1011"/>
        </w:numPr>
      </w:pPr>
      <w:r>
        <w:t xml:space="preserve">Executive HR Brief Generator</w:t>
      </w:r>
    </w:p>
    <w:p>
      <w:pPr>
        <w:pStyle w:val="Compact"/>
        <w:numPr>
          <w:ilvl w:val="0"/>
          <w:numId w:val="1011"/>
        </w:numPr>
      </w:pPr>
      <w:r>
        <w:t xml:space="preserve">HR Audit Analyzer</w:t>
      </w:r>
    </w:p>
    <w:p>
      <w:pPr>
        <w:pStyle w:val="Compact"/>
        <w:numPr>
          <w:ilvl w:val="0"/>
          <w:numId w:val="1011"/>
        </w:numPr>
      </w:pPr>
      <w:r>
        <w:t xml:space="preserve">Live Prompt Assistant</w:t>
      </w:r>
    </w:p>
    <w:p>
      <w:pPr>
        <w:pStyle w:val="Compact"/>
        <w:numPr>
          <w:ilvl w:val="0"/>
          <w:numId w:val="1011"/>
        </w:numPr>
      </w:pPr>
      <w:r>
        <w:t xml:space="preserve">Onboarding Plan Generator</w:t>
      </w:r>
    </w:p>
    <w:p>
      <w:pPr>
        <w:pStyle w:val="Compact"/>
        <w:numPr>
          <w:ilvl w:val="0"/>
          <w:numId w:val="1011"/>
        </w:numPr>
      </w:pPr>
      <w:r>
        <w:t xml:space="preserve">Performance Improvement Plan Generator</w:t>
      </w:r>
    </w:p>
    <w:p>
      <w:pPr>
        <w:pStyle w:val="Compact"/>
        <w:numPr>
          <w:ilvl w:val="0"/>
          <w:numId w:val="1011"/>
        </w:numPr>
      </w:pPr>
      <w:r>
        <w:t xml:space="preserve">Prompt Engineering Guide</w:t>
      </w:r>
    </w:p>
    <w:p>
      <w:pPr>
        <w:pStyle w:val="Compact"/>
        <w:numPr>
          <w:ilvl w:val="0"/>
          <w:numId w:val="1011"/>
        </w:numPr>
      </w:pPr>
      <w:r>
        <w:t xml:space="preserve">Termination Documentation Assistant</w:t>
      </w:r>
    </w:p>
    <w:p>
      <w:pPr>
        <w:pStyle w:val="Compact"/>
        <w:numPr>
          <w:ilvl w:val="0"/>
          <w:numId w:val="1011"/>
        </w:numPr>
      </w:pPr>
      <w:r>
        <w:t xml:space="preserve">Workforce Planning Assistant</w:t>
      </w:r>
    </w:p>
    <w:p>
      <w:pPr>
        <w:pStyle w:val="Compact"/>
        <w:numPr>
          <w:ilvl w:val="0"/>
          <w:numId w:val="1011"/>
        </w:numPr>
      </w:pPr>
      <w:r>
        <w:t xml:space="preserve">Workplace Investigation Planner</w:t>
      </w:r>
    </w:p>
    <w:bookmarkEnd w:id="17"/>
    <w:bookmarkStart w:id="18" w:name="hr-dashboards-scorecards-analytics"/>
    <w:p>
      <w:pPr>
        <w:pStyle w:val="Heading3"/>
      </w:pPr>
      <w:r>
        <w:t xml:space="preserve">10 — HR Dashboards, Scorecards &amp; Analytics</w:t>
      </w:r>
    </w:p>
    <w:p>
      <w:pPr>
        <w:pStyle w:val="Compact"/>
        <w:numPr>
          <w:ilvl w:val="0"/>
          <w:numId w:val="1012"/>
        </w:numPr>
      </w:pPr>
      <w:r>
        <w:t xml:space="preserve">Headcount Planning Calculator</w:t>
      </w:r>
    </w:p>
    <w:p>
      <w:pPr>
        <w:pStyle w:val="Compact"/>
        <w:numPr>
          <w:ilvl w:val="0"/>
          <w:numId w:val="1012"/>
        </w:numPr>
      </w:pPr>
      <w:r>
        <w:t xml:space="preserve">Workforce Capacity Calculator</w:t>
      </w:r>
    </w:p>
    <w:p>
      <w:pPr>
        <w:pStyle w:val="Compact"/>
        <w:numPr>
          <w:ilvl w:val="0"/>
          <w:numId w:val="1012"/>
        </w:numPr>
      </w:pPr>
      <w:r>
        <w:t xml:space="preserve">Recruiting Funnel Calculator</w:t>
      </w:r>
    </w:p>
    <w:p>
      <w:pPr>
        <w:pStyle w:val="Compact"/>
        <w:numPr>
          <w:ilvl w:val="0"/>
          <w:numId w:val="1012"/>
        </w:numPr>
      </w:pPr>
      <w:r>
        <w:t xml:space="preserve">Cost Per Hire Calculator</w:t>
      </w:r>
    </w:p>
    <w:p>
      <w:pPr>
        <w:pStyle w:val="Compact"/>
        <w:numPr>
          <w:ilvl w:val="0"/>
          <w:numId w:val="1012"/>
        </w:numPr>
      </w:pPr>
      <w:r>
        <w:t xml:space="preserve">Vacancy Cost Calculator</w:t>
      </w:r>
    </w:p>
    <w:p>
      <w:pPr>
        <w:pStyle w:val="Compact"/>
        <w:numPr>
          <w:ilvl w:val="0"/>
          <w:numId w:val="1012"/>
        </w:numPr>
      </w:pPr>
      <w:r>
        <w:t xml:space="preserve">Employee Replacement Cost Calculator</w:t>
      </w:r>
    </w:p>
    <w:p>
      <w:pPr>
        <w:pStyle w:val="Compact"/>
        <w:numPr>
          <w:ilvl w:val="0"/>
          <w:numId w:val="1012"/>
        </w:numPr>
      </w:pPr>
      <w:r>
        <w:t xml:space="preserve">Employee Retention ROI Calculator</w:t>
      </w:r>
    </w:p>
    <w:p>
      <w:pPr>
        <w:pStyle w:val="Compact"/>
        <w:numPr>
          <w:ilvl w:val="0"/>
          <w:numId w:val="1012"/>
        </w:numPr>
      </w:pPr>
      <w:r>
        <w:t xml:space="preserve">Absenteeism Cost Calculator</w:t>
      </w:r>
    </w:p>
    <w:p>
      <w:pPr>
        <w:pStyle w:val="Compact"/>
        <w:numPr>
          <w:ilvl w:val="0"/>
          <w:numId w:val="1012"/>
        </w:numPr>
      </w:pPr>
      <w:r>
        <w:t xml:space="preserve">Overtime Cost Analyzer</w:t>
      </w:r>
    </w:p>
    <w:p>
      <w:pPr>
        <w:pStyle w:val="Compact"/>
        <w:numPr>
          <w:ilvl w:val="0"/>
          <w:numId w:val="1012"/>
        </w:numPr>
      </w:pPr>
      <w:r>
        <w:t xml:space="preserve">Compensation Increase Budget Calculator</w:t>
      </w:r>
    </w:p>
    <w:p>
      <w:pPr>
        <w:pStyle w:val="Compact"/>
        <w:numPr>
          <w:ilvl w:val="0"/>
          <w:numId w:val="1012"/>
        </w:numPr>
      </w:pPr>
      <w:r>
        <w:t xml:space="preserve">HR Cost Per Employee Calculator</w:t>
      </w:r>
    </w:p>
    <w:p>
      <w:pPr>
        <w:pStyle w:val="Compact"/>
        <w:numPr>
          <w:ilvl w:val="0"/>
          <w:numId w:val="1012"/>
        </w:numPr>
      </w:pPr>
      <w:r>
        <w:t xml:space="preserve">HR Department Staffing Calculator</w:t>
      </w:r>
    </w:p>
    <w:p>
      <w:pPr>
        <w:pStyle w:val="Compact"/>
        <w:numPr>
          <w:ilvl w:val="0"/>
          <w:numId w:val="1012"/>
        </w:numPr>
      </w:pPr>
      <w:r>
        <w:t xml:space="preserve">Severance Cost Calculator</w:t>
      </w:r>
    </w:p>
    <w:p>
      <w:pPr>
        <w:pStyle w:val="Compact"/>
        <w:numPr>
          <w:ilvl w:val="0"/>
          <w:numId w:val="1012"/>
        </w:numPr>
      </w:pPr>
      <w:r>
        <w:t xml:space="preserve">Training ROI Calculator</w:t>
      </w:r>
    </w:p>
    <w:bookmarkEnd w:id="18"/>
    <w:bookmarkStart w:id="19" w:name="hr-governance-risk-compliance"/>
    <w:p>
      <w:pPr>
        <w:pStyle w:val="Heading3"/>
      </w:pPr>
      <w:r>
        <w:t xml:space="preserve">11 — HR Governance, Risk &amp; Compliance</w:t>
      </w:r>
    </w:p>
    <w:p>
      <w:pPr>
        <w:pStyle w:val="Compact"/>
        <w:numPr>
          <w:ilvl w:val="0"/>
          <w:numId w:val="1013"/>
        </w:numPr>
      </w:pPr>
      <w:r>
        <w:t xml:space="preserve">Executive HR Governance Center</w:t>
      </w:r>
    </w:p>
    <w:p>
      <w:pPr>
        <w:pStyle w:val="Compact"/>
        <w:numPr>
          <w:ilvl w:val="0"/>
          <w:numId w:val="1013"/>
        </w:numPr>
      </w:pPr>
      <w:r>
        <w:t xml:space="preserve">HR Governance Charter</w:t>
      </w:r>
    </w:p>
    <w:p>
      <w:pPr>
        <w:pStyle w:val="Compact"/>
        <w:numPr>
          <w:ilvl w:val="0"/>
          <w:numId w:val="1013"/>
        </w:numPr>
      </w:pPr>
      <w:r>
        <w:t xml:space="preserve">HR Governance Framework</w:t>
      </w:r>
    </w:p>
    <w:p>
      <w:pPr>
        <w:pStyle w:val="Compact"/>
        <w:numPr>
          <w:ilvl w:val="0"/>
          <w:numId w:val="1013"/>
        </w:numPr>
      </w:pPr>
      <w:r>
        <w:t xml:space="preserve">Executive HR Governance Checklist</w:t>
      </w:r>
    </w:p>
    <w:p>
      <w:pPr>
        <w:pStyle w:val="Compact"/>
        <w:numPr>
          <w:ilvl w:val="0"/>
          <w:numId w:val="1013"/>
        </w:numPr>
      </w:pPr>
      <w:r>
        <w:t xml:space="preserve">Leadership Roles &amp; Accountability Matrix</w:t>
      </w:r>
    </w:p>
    <w:p>
      <w:pPr>
        <w:pStyle w:val="Compact"/>
        <w:numPr>
          <w:ilvl w:val="0"/>
          <w:numId w:val="1013"/>
        </w:numPr>
      </w:pPr>
      <w:r>
        <w:t xml:space="preserve">Delegation of Authority Matrix</w:t>
      </w:r>
    </w:p>
    <w:p>
      <w:pPr>
        <w:pStyle w:val="Compact"/>
        <w:numPr>
          <w:ilvl w:val="0"/>
          <w:numId w:val="1013"/>
        </w:numPr>
      </w:pPr>
      <w:r>
        <w:t xml:space="preserve">Policy Approval Governance Matrix</w:t>
      </w:r>
    </w:p>
    <w:p>
      <w:pPr>
        <w:pStyle w:val="Compact"/>
        <w:numPr>
          <w:ilvl w:val="0"/>
          <w:numId w:val="1013"/>
        </w:numPr>
      </w:pPr>
      <w:r>
        <w:t xml:space="preserve">HR Action Register</w:t>
      </w:r>
    </w:p>
    <w:p>
      <w:pPr>
        <w:pStyle w:val="Compact"/>
        <w:numPr>
          <w:ilvl w:val="0"/>
          <w:numId w:val="1013"/>
        </w:numPr>
      </w:pPr>
      <w:r>
        <w:t xml:space="preserve">Executive HR Meeting Agenda</w:t>
      </w:r>
    </w:p>
    <w:p>
      <w:pPr>
        <w:pStyle w:val="Compact"/>
        <w:numPr>
          <w:ilvl w:val="0"/>
          <w:numId w:val="1013"/>
        </w:numPr>
      </w:pPr>
      <w:r>
        <w:t xml:space="preserve">Quarterly Executive HR Review</w:t>
      </w:r>
    </w:p>
    <w:p>
      <w:pPr>
        <w:pStyle w:val="Compact"/>
        <w:numPr>
          <w:ilvl w:val="0"/>
          <w:numId w:val="1013"/>
        </w:numPr>
      </w:pPr>
      <w:r>
        <w:t xml:space="preserve">Annual HR Management Review</w:t>
      </w:r>
    </w:p>
    <w:p>
      <w:pPr>
        <w:pStyle w:val="Compact"/>
        <w:numPr>
          <w:ilvl w:val="0"/>
          <w:numId w:val="1013"/>
        </w:numPr>
      </w:pPr>
      <w:r>
        <w:t xml:space="preserve">HR Governance Certification</w:t>
      </w:r>
    </w:p>
    <w:p>
      <w:pPr>
        <w:pStyle w:val="Compact"/>
        <w:numPr>
          <w:ilvl w:val="0"/>
          <w:numId w:val="1013"/>
        </w:numPr>
      </w:pPr>
      <w:r>
        <w:t xml:space="preserve">Compliance Health Check</w:t>
      </w:r>
    </w:p>
    <w:p>
      <w:pPr>
        <w:pStyle w:val="Compact"/>
        <w:numPr>
          <w:ilvl w:val="0"/>
          <w:numId w:val="1013"/>
        </w:numPr>
      </w:pPr>
      <w:r>
        <w:t xml:space="preserve">Employment Law Compliance Framework</w:t>
      </w:r>
    </w:p>
    <w:p>
      <w:pPr>
        <w:pStyle w:val="Compact"/>
        <w:numPr>
          <w:ilvl w:val="0"/>
          <w:numId w:val="1013"/>
        </w:numPr>
      </w:pPr>
      <w:r>
        <w:t xml:space="preserve">Wage &amp; Hour Compliance Framework</w:t>
      </w:r>
    </w:p>
    <w:p>
      <w:pPr>
        <w:pStyle w:val="Compact"/>
        <w:numPr>
          <w:ilvl w:val="0"/>
          <w:numId w:val="1013"/>
        </w:numPr>
      </w:pPr>
      <w:r>
        <w:t xml:space="preserve">HR Infrastructure Maturity Model</w:t>
      </w:r>
    </w:p>
    <w:p>
      <w:pPr>
        <w:pStyle w:val="Compact"/>
        <w:numPr>
          <w:ilvl w:val="0"/>
          <w:numId w:val="1013"/>
        </w:numPr>
      </w:pPr>
      <w:r>
        <w:t xml:space="preserve">Key HR Management Functions</w:t>
      </w:r>
    </w:p>
    <w:p>
      <w:pPr>
        <w:pStyle w:val="Compact"/>
        <w:numPr>
          <w:ilvl w:val="0"/>
          <w:numId w:val="1013"/>
        </w:numPr>
      </w:pPr>
      <w:r>
        <w:t xml:space="preserve">Employee Lifecycle</w:t>
      </w:r>
    </w:p>
    <w:p>
      <w:pPr>
        <w:pStyle w:val="Compact"/>
        <w:numPr>
          <w:ilvl w:val="0"/>
          <w:numId w:val="1013"/>
        </w:numPr>
      </w:pPr>
      <w:r>
        <w:t xml:space="preserve">Employee Lifecycle Coverage</w:t>
      </w:r>
    </w:p>
    <w:p>
      <w:pPr>
        <w:pStyle w:val="Compact"/>
        <w:numPr>
          <w:ilvl w:val="0"/>
          <w:numId w:val="1013"/>
        </w:numPr>
      </w:pPr>
      <w:r>
        <w:t xml:space="preserve">Employee Lifecycle in Action</w:t>
      </w:r>
    </w:p>
    <w:p>
      <w:pPr>
        <w:pStyle w:val="Compact"/>
        <w:numPr>
          <w:ilvl w:val="0"/>
          <w:numId w:val="1013"/>
        </w:numPr>
      </w:pPr>
      <w:r>
        <w:t xml:space="preserve">HROS Module Architecture</w:t>
      </w:r>
    </w:p>
    <w:bookmarkEnd w:id="19"/>
    <w:bookmarkStart w:id="20" w:name="policies-handbooks-employee-standards"/>
    <w:p>
      <w:pPr>
        <w:pStyle w:val="Heading3"/>
      </w:pPr>
      <w:r>
        <w:t xml:space="preserve">12 — Policies, Handbooks &amp; Employee Standards</w:t>
      </w:r>
    </w:p>
    <w:p>
      <w:pPr>
        <w:pStyle w:val="Compact"/>
        <w:numPr>
          <w:ilvl w:val="0"/>
          <w:numId w:val="1014"/>
        </w:numPr>
      </w:pPr>
      <w:r>
        <w:t xml:space="preserve">Master HR Policy Library</w:t>
      </w:r>
    </w:p>
    <w:p>
      <w:pPr>
        <w:pStyle w:val="Compact"/>
        <w:numPr>
          <w:ilvl w:val="0"/>
          <w:numId w:val="1014"/>
        </w:numPr>
      </w:pPr>
      <w:r>
        <w:t xml:space="preserve">Employee Handbook Builder &amp; Management Center</w:t>
      </w:r>
    </w:p>
    <w:p>
      <w:pPr>
        <w:pStyle w:val="Compact"/>
        <w:numPr>
          <w:ilvl w:val="0"/>
          <w:numId w:val="1014"/>
        </w:numPr>
      </w:pPr>
      <w:r>
        <w:t xml:space="preserve">Policy Acknowledgment &amp; Distribution Center</w:t>
      </w:r>
    </w:p>
    <w:p>
      <w:pPr>
        <w:pStyle w:val="Compact"/>
        <w:numPr>
          <w:ilvl w:val="0"/>
          <w:numId w:val="1014"/>
        </w:numPr>
      </w:pPr>
      <w:r>
        <w:t xml:space="preserve">AI Employee Handbook Generator</w:t>
      </w:r>
    </w:p>
    <w:p>
      <w:pPr>
        <w:pStyle w:val="Compact"/>
        <w:numPr>
          <w:ilvl w:val="0"/>
          <w:numId w:val="1014"/>
        </w:numPr>
      </w:pPr>
      <w:r>
        <w:t xml:space="preserve">AI HR Policy Handbook Builder</w:t>
      </w:r>
    </w:p>
    <w:p>
      <w:pPr>
        <w:pStyle w:val="Compact"/>
        <w:numPr>
          <w:ilvl w:val="0"/>
          <w:numId w:val="1014"/>
        </w:numPr>
      </w:pPr>
      <w:r>
        <w:t xml:space="preserve">AI Employee Handbook Policy Generator</w:t>
      </w:r>
    </w:p>
    <w:p>
      <w:pPr>
        <w:pStyle w:val="Compact"/>
        <w:numPr>
          <w:ilvl w:val="0"/>
          <w:numId w:val="1014"/>
        </w:numPr>
      </w:pPr>
      <w:r>
        <w:t xml:space="preserve">AI Handbook Compliance Review</w:t>
      </w:r>
    </w:p>
    <w:p>
      <w:pPr>
        <w:pStyle w:val="Compact"/>
        <w:numPr>
          <w:ilvl w:val="0"/>
          <w:numId w:val="1014"/>
        </w:numPr>
      </w:pPr>
      <w:r>
        <w:t xml:space="preserve">AI Policy Gap Analyzer</w:t>
      </w:r>
    </w:p>
    <w:p>
      <w:pPr>
        <w:pStyle w:val="Compact"/>
        <w:numPr>
          <w:ilvl w:val="0"/>
          <w:numId w:val="1014"/>
        </w:numPr>
      </w:pPr>
      <w:r>
        <w:t xml:space="preserve">Handbook Revision &amp; Version Control Center</w:t>
      </w:r>
    </w:p>
    <w:p>
      <w:pPr>
        <w:pStyle w:val="Compact"/>
        <w:numPr>
          <w:ilvl w:val="0"/>
          <w:numId w:val="1014"/>
        </w:numPr>
      </w:pPr>
      <w:r>
        <w:t xml:space="preserve">Employee Handbook Acknowledgment Form</w:t>
      </w:r>
    </w:p>
    <w:p>
      <w:pPr>
        <w:pStyle w:val="Compact"/>
        <w:numPr>
          <w:ilvl w:val="0"/>
          <w:numId w:val="1014"/>
        </w:numPr>
      </w:pPr>
      <w:r>
        <w:t xml:space="preserve">Handbook Rollout &amp; Communication Plan</w:t>
      </w:r>
    </w:p>
    <w:p>
      <w:pPr>
        <w:pStyle w:val="Compact"/>
        <w:numPr>
          <w:ilvl w:val="0"/>
          <w:numId w:val="1014"/>
        </w:numPr>
      </w:pPr>
      <w:r>
        <w:t xml:space="preserve">Employee Handbook Starter Kit</w:t>
      </w:r>
    </w:p>
    <w:bookmarkEnd w:id="20"/>
    <w:bookmarkStart w:id="21" w:name="hr-resources-template-library"/>
    <w:p>
      <w:pPr>
        <w:pStyle w:val="Heading3"/>
      </w:pPr>
      <w:r>
        <w:t xml:space="preserve">13 — HR Resources &amp; Template Library</w:t>
      </w:r>
    </w:p>
    <w:p>
      <w:pPr>
        <w:pStyle w:val="FirstParagraph"/>
      </w:pPr>
      <w:r>
        <w:t xml:space="preserve">The comprehensive HROS template library is organized into the following functional areas:</w:t>
      </w:r>
    </w:p>
    <w:p>
      <w:pPr>
        <w:pStyle w:val="Compact"/>
        <w:numPr>
          <w:ilvl w:val="0"/>
          <w:numId w:val="1015"/>
        </w:numPr>
      </w:pPr>
      <w:r>
        <w:t xml:space="preserve">Hiring &amp; Onboarding</w:t>
      </w:r>
    </w:p>
    <w:p>
      <w:pPr>
        <w:pStyle w:val="Compact"/>
        <w:numPr>
          <w:ilvl w:val="0"/>
          <w:numId w:val="1015"/>
        </w:numPr>
      </w:pPr>
      <w:r>
        <w:t xml:space="preserve">Employee Records &amp; Documentation</w:t>
      </w:r>
    </w:p>
    <w:p>
      <w:pPr>
        <w:pStyle w:val="Compact"/>
        <w:numPr>
          <w:ilvl w:val="0"/>
          <w:numId w:val="1015"/>
        </w:numPr>
      </w:pPr>
      <w:r>
        <w:t xml:space="preserve">Compensation &amp; Payroll</w:t>
      </w:r>
    </w:p>
    <w:p>
      <w:pPr>
        <w:pStyle w:val="Compact"/>
        <w:numPr>
          <w:ilvl w:val="0"/>
          <w:numId w:val="1015"/>
        </w:numPr>
      </w:pPr>
      <w:r>
        <w:t xml:space="preserve">Benefits Administration</w:t>
      </w:r>
    </w:p>
    <w:p>
      <w:pPr>
        <w:pStyle w:val="Compact"/>
        <w:numPr>
          <w:ilvl w:val="0"/>
          <w:numId w:val="1015"/>
        </w:numPr>
      </w:pPr>
      <w:r>
        <w:t xml:space="preserve">Performance Management</w:t>
      </w:r>
    </w:p>
    <w:p>
      <w:pPr>
        <w:pStyle w:val="Compact"/>
        <w:numPr>
          <w:ilvl w:val="0"/>
          <w:numId w:val="1015"/>
        </w:numPr>
      </w:pPr>
      <w:r>
        <w:t xml:space="preserve">Employee Relations</w:t>
      </w:r>
    </w:p>
    <w:p>
      <w:pPr>
        <w:pStyle w:val="Compact"/>
        <w:numPr>
          <w:ilvl w:val="0"/>
          <w:numId w:val="1015"/>
        </w:numPr>
      </w:pPr>
      <w:r>
        <w:t xml:space="preserve">Leave &amp; Attendance</w:t>
      </w:r>
    </w:p>
    <w:p>
      <w:pPr>
        <w:pStyle w:val="Compact"/>
        <w:numPr>
          <w:ilvl w:val="0"/>
          <w:numId w:val="1015"/>
        </w:numPr>
      </w:pPr>
      <w:r>
        <w:t xml:space="preserve">Training &amp; Development</w:t>
      </w:r>
    </w:p>
    <w:p>
      <w:pPr>
        <w:pStyle w:val="Compact"/>
        <w:numPr>
          <w:ilvl w:val="0"/>
          <w:numId w:val="1015"/>
        </w:numPr>
      </w:pPr>
      <w:r>
        <w:t xml:space="preserve">Compliance &amp; Legal</w:t>
      </w:r>
    </w:p>
    <w:p>
      <w:pPr>
        <w:pStyle w:val="Compact"/>
        <w:numPr>
          <w:ilvl w:val="0"/>
          <w:numId w:val="1015"/>
        </w:numPr>
      </w:pPr>
      <w:r>
        <w:t xml:space="preserve">Separation &amp; Offboarding</w:t>
      </w:r>
    </w:p>
    <w:p>
      <w:pPr>
        <w:pStyle w:val="Compact"/>
        <w:numPr>
          <w:ilvl w:val="0"/>
          <w:numId w:val="1015"/>
        </w:numPr>
      </w:pPr>
      <w:r>
        <w:t xml:space="preserve">HR Administration</w:t>
      </w:r>
    </w:p>
    <w:p>
      <w:pPr>
        <w:pStyle w:val="Compact"/>
        <w:numPr>
          <w:ilvl w:val="0"/>
          <w:numId w:val="1015"/>
        </w:numPr>
      </w:pPr>
      <w:r>
        <w:t xml:space="preserve">Management &amp; Leadership</w:t>
      </w:r>
    </w:p>
    <w:p>
      <w:pPr>
        <w:pStyle w:val="Compact"/>
        <w:numPr>
          <w:ilvl w:val="0"/>
          <w:numId w:val="1015"/>
        </w:numPr>
      </w:pPr>
      <w:r>
        <w:t xml:space="preserve">Workforce Planning</w:t>
      </w:r>
    </w:p>
    <w:p>
      <w:pPr>
        <w:pStyle w:val="Compact"/>
        <w:numPr>
          <w:ilvl w:val="0"/>
          <w:numId w:val="1015"/>
        </w:numPr>
      </w:pPr>
      <w:r>
        <w:t xml:space="preserve">Organizational Development</w:t>
      </w:r>
    </w:p>
    <w:p>
      <w:pPr>
        <w:pStyle w:val="Compact"/>
        <w:numPr>
          <w:ilvl w:val="0"/>
          <w:numId w:val="1015"/>
        </w:numPr>
      </w:pPr>
      <w:r>
        <w:t xml:space="preserve">Strategic HR</w:t>
      </w:r>
    </w:p>
    <w:p>
      <w:pPr>
        <w:pStyle w:val="Compact"/>
        <w:numPr>
          <w:ilvl w:val="0"/>
          <w:numId w:val="1015"/>
        </w:numPr>
      </w:pPr>
      <w:r>
        <w:t xml:space="preserve">Advanced HR Management</w:t>
      </w:r>
    </w:p>
    <w:p>
      <w:pPr>
        <w:pStyle w:val="Compact"/>
        <w:numPr>
          <w:ilvl w:val="0"/>
          <w:numId w:val="1015"/>
        </w:numPr>
      </w:pPr>
      <w:r>
        <w:t xml:space="preserve">Operational Excellence</w:t>
      </w:r>
    </w:p>
    <w:p>
      <w:pPr>
        <w:pStyle w:val="Compact"/>
        <w:numPr>
          <w:ilvl w:val="0"/>
          <w:numId w:val="1015"/>
        </w:numPr>
      </w:pPr>
      <w:r>
        <w:t xml:space="preserve">Executive-Level Compensation</w:t>
      </w:r>
    </w:p>
    <w:p>
      <w:pPr>
        <w:pStyle w:val="Compact"/>
        <w:numPr>
          <w:ilvl w:val="0"/>
          <w:numId w:val="1015"/>
        </w:numPr>
      </w:pPr>
      <w:r>
        <w:t xml:space="preserve">Risk Management</w:t>
      </w:r>
    </w:p>
    <w:p>
      <w:pPr>
        <w:pStyle w:val="Compact"/>
        <w:numPr>
          <w:ilvl w:val="0"/>
          <w:numId w:val="1015"/>
        </w:numPr>
      </w:pPr>
      <w:r>
        <w:t xml:space="preserve">Business Continuity</w:t>
      </w:r>
    </w:p>
    <w:p>
      <w:pPr>
        <w:pStyle w:val="FirstParagraph"/>
      </w:pPr>
      <w:r>
        <w:t xml:space="preserve">Includes:</w:t>
      </w:r>
    </w:p>
    <w:p>
      <w:pPr>
        <w:pStyle w:val="Compact"/>
        <w:numPr>
          <w:ilvl w:val="0"/>
          <w:numId w:val="1016"/>
        </w:numPr>
      </w:pPr>
      <w:r>
        <w:t xml:space="preserve">Master Template Index by Module</w:t>
      </w:r>
    </w:p>
    <w:p>
      <w:pPr>
        <w:pStyle w:val="Compact"/>
        <w:numPr>
          <w:ilvl w:val="0"/>
          <w:numId w:val="1016"/>
        </w:numPr>
      </w:pPr>
      <w:r>
        <w:t xml:space="preserve">Alphabetical Master Template Index</w:t>
      </w:r>
    </w:p>
    <w:p>
      <w:pPr>
        <w:pStyle w:val="Compact"/>
        <w:numPr>
          <w:ilvl w:val="0"/>
          <w:numId w:val="1016"/>
        </w:numPr>
      </w:pPr>
      <w:r>
        <w:t xml:space="preserve">Editable HR forms, agreements, checklists, plans, frameworks and management documents</w:t>
      </w:r>
    </w:p>
    <w:bookmarkEnd w:id="21"/>
    <w:bookmarkStart w:id="22" w:name="manager-leadership-toolkit"/>
    <w:p>
      <w:pPr>
        <w:pStyle w:val="Heading3"/>
      </w:pPr>
      <w:r>
        <w:t xml:space="preserve">14 — Manager &amp; Leadership Toolkit</w:t>
      </w:r>
    </w:p>
    <w:p>
      <w:pPr>
        <w:pStyle w:val="Compact"/>
        <w:numPr>
          <w:ilvl w:val="0"/>
          <w:numId w:val="1017"/>
        </w:numPr>
      </w:pPr>
      <w:r>
        <w:t xml:space="preserve">Manager Coaching Conversation Planner</w:t>
      </w:r>
    </w:p>
    <w:p>
      <w:pPr>
        <w:pStyle w:val="Compact"/>
        <w:numPr>
          <w:ilvl w:val="0"/>
          <w:numId w:val="1017"/>
        </w:numPr>
      </w:pPr>
      <w:r>
        <w:t xml:space="preserve">Manager Performance Review Planner</w:t>
      </w:r>
    </w:p>
    <w:p>
      <w:pPr>
        <w:pStyle w:val="Compact"/>
        <w:numPr>
          <w:ilvl w:val="0"/>
          <w:numId w:val="1017"/>
        </w:numPr>
      </w:pPr>
      <w:r>
        <w:t xml:space="preserve">Manager Corrective Action Guide</w:t>
      </w:r>
    </w:p>
    <w:p>
      <w:pPr>
        <w:pStyle w:val="Compact"/>
        <w:numPr>
          <w:ilvl w:val="0"/>
          <w:numId w:val="1017"/>
        </w:numPr>
      </w:pPr>
      <w:r>
        <w:t xml:space="preserve">Manager Documentation Checklist</w:t>
      </w:r>
    </w:p>
    <w:p>
      <w:pPr>
        <w:pStyle w:val="Compact"/>
        <w:numPr>
          <w:ilvl w:val="0"/>
          <w:numId w:val="1017"/>
        </w:numPr>
      </w:pPr>
      <w:r>
        <w:t xml:space="preserve">Manager Employee Complaint Response Guide</w:t>
      </w:r>
    </w:p>
    <w:p>
      <w:pPr>
        <w:pStyle w:val="Compact"/>
        <w:numPr>
          <w:ilvl w:val="0"/>
          <w:numId w:val="1017"/>
        </w:numPr>
      </w:pPr>
      <w:r>
        <w:t xml:space="preserve">Manager Leave &amp; Accommodation Escalation Guide</w:t>
      </w:r>
    </w:p>
    <w:p>
      <w:pPr>
        <w:pStyle w:val="Compact"/>
        <w:numPr>
          <w:ilvl w:val="0"/>
          <w:numId w:val="1017"/>
        </w:numPr>
      </w:pPr>
      <w:r>
        <w:t xml:space="preserve">Manager Investigation Do/Don’t Guide</w:t>
      </w:r>
    </w:p>
    <w:p>
      <w:pPr>
        <w:pStyle w:val="Compact"/>
        <w:numPr>
          <w:ilvl w:val="0"/>
          <w:numId w:val="1017"/>
        </w:numPr>
      </w:pPr>
      <w:r>
        <w:t xml:space="preserve">Manager Termination Recommendation Guide</w:t>
      </w:r>
    </w:p>
    <w:bookmarkEnd w:id="22"/>
    <w:bookmarkStart w:id="23" w:name="executive-hr-resources"/>
    <w:p>
      <w:pPr>
        <w:pStyle w:val="Heading3"/>
      </w:pPr>
      <w:r>
        <w:t xml:space="preserve">15 — Executive HR Resources</w:t>
      </w:r>
    </w:p>
    <w:p>
      <w:pPr>
        <w:pStyle w:val="Compact"/>
        <w:numPr>
          <w:ilvl w:val="0"/>
          <w:numId w:val="1018"/>
        </w:numPr>
      </w:pPr>
      <w:r>
        <w:t xml:space="preserve">Executive HR Strategy Brief</w:t>
      </w:r>
    </w:p>
    <w:p>
      <w:pPr>
        <w:pStyle w:val="Compact"/>
        <w:numPr>
          <w:ilvl w:val="0"/>
          <w:numId w:val="1018"/>
        </w:numPr>
      </w:pPr>
      <w:r>
        <w:t xml:space="preserve">HR Executive Business Case</w:t>
      </w:r>
    </w:p>
    <w:p>
      <w:pPr>
        <w:pStyle w:val="Compact"/>
        <w:numPr>
          <w:ilvl w:val="0"/>
          <w:numId w:val="1018"/>
        </w:numPr>
      </w:pPr>
      <w:r>
        <w:t xml:space="preserve">HR Cost of Inaction Calculator</w:t>
      </w:r>
    </w:p>
    <w:p>
      <w:pPr>
        <w:pStyle w:val="Compact"/>
        <w:numPr>
          <w:ilvl w:val="0"/>
          <w:numId w:val="1018"/>
        </w:numPr>
      </w:pPr>
      <w:r>
        <w:t xml:space="preserve">HROS System Architecture</w:t>
      </w:r>
    </w:p>
    <w:bookmarkEnd w:id="23"/>
    <w:bookmarkStart w:id="24" w:name="Xd137b11279b4f30e52c02145ac2b325f86ab56f"/>
    <w:p>
      <w:pPr>
        <w:pStyle w:val="Heading3"/>
      </w:pPr>
      <w:r>
        <w:t xml:space="preserve">16 — Post-Implementation &amp; Continuous Improvement</w:t>
      </w:r>
    </w:p>
    <w:p>
      <w:pPr>
        <w:pStyle w:val="Compact"/>
        <w:numPr>
          <w:ilvl w:val="0"/>
          <w:numId w:val="1019"/>
        </w:numPr>
      </w:pPr>
      <w:r>
        <w:t xml:space="preserve">Monthly HR Review Dashboard</w:t>
      </w:r>
    </w:p>
    <w:p>
      <w:pPr>
        <w:pStyle w:val="Compact"/>
        <w:numPr>
          <w:ilvl w:val="0"/>
          <w:numId w:val="1019"/>
        </w:numPr>
      </w:pPr>
      <w:r>
        <w:t xml:space="preserve">Quarterly HR Business Review</w:t>
      </w:r>
    </w:p>
    <w:p>
      <w:pPr>
        <w:pStyle w:val="Compact"/>
        <w:numPr>
          <w:ilvl w:val="0"/>
          <w:numId w:val="1019"/>
        </w:numPr>
      </w:pPr>
      <w:r>
        <w:t xml:space="preserve">HR KPI Trend Dashboard</w:t>
      </w:r>
    </w:p>
    <w:p>
      <w:pPr>
        <w:pStyle w:val="Compact"/>
        <w:numPr>
          <w:ilvl w:val="0"/>
          <w:numId w:val="1019"/>
        </w:numPr>
      </w:pPr>
      <w:r>
        <w:t xml:space="preserve">Workforce Planning Review</w:t>
      </w:r>
    </w:p>
    <w:p>
      <w:pPr>
        <w:pStyle w:val="Compact"/>
        <w:numPr>
          <w:ilvl w:val="0"/>
          <w:numId w:val="1019"/>
        </w:numPr>
      </w:pPr>
      <w:r>
        <w:t xml:space="preserve">Annual HR Audit</w:t>
      </w:r>
    </w:p>
    <w:p>
      <w:pPr>
        <w:pStyle w:val="Compact"/>
        <w:numPr>
          <w:ilvl w:val="0"/>
          <w:numId w:val="1019"/>
        </w:numPr>
      </w:pPr>
      <w:r>
        <w:t xml:space="preserve">Annual Policy Review</w:t>
      </w:r>
    </w:p>
    <w:p>
      <w:pPr>
        <w:pStyle w:val="Compact"/>
        <w:numPr>
          <w:ilvl w:val="0"/>
          <w:numId w:val="1019"/>
        </w:numPr>
      </w:pPr>
      <w:r>
        <w:t xml:space="preserve">Compliance Recertification</w:t>
      </w:r>
    </w:p>
    <w:p>
      <w:pPr>
        <w:pStyle w:val="Compact"/>
        <w:numPr>
          <w:ilvl w:val="0"/>
          <w:numId w:val="1019"/>
        </w:numPr>
      </w:pPr>
      <w:r>
        <w:t xml:space="preserve">HR Maturity Reassessment</w:t>
      </w:r>
    </w:p>
    <w:p>
      <w:pPr>
        <w:pStyle w:val="Compact"/>
        <w:numPr>
          <w:ilvl w:val="0"/>
          <w:numId w:val="1019"/>
        </w:numPr>
      </w:pPr>
      <w:r>
        <w:t xml:space="preserve">Final Assessment</w:t>
      </w:r>
    </w:p>
    <w:p>
      <w:pPr>
        <w:pStyle w:val="Compact"/>
        <w:numPr>
          <w:ilvl w:val="0"/>
          <w:numId w:val="1019"/>
        </w:numPr>
      </w:pPr>
      <w:r>
        <w:t xml:space="preserve">Before vs. After Dashboard</w:t>
      </w:r>
    </w:p>
    <w:p>
      <w:pPr>
        <w:pStyle w:val="Compact"/>
        <w:numPr>
          <w:ilvl w:val="0"/>
          <w:numId w:val="1019"/>
        </w:numPr>
      </w:pPr>
      <w:r>
        <w:t xml:space="preserve">Before vs. After Report</w:t>
      </w:r>
    </w:p>
    <w:p>
      <w:pPr>
        <w:pStyle w:val="Compact"/>
        <w:numPr>
          <w:ilvl w:val="0"/>
          <w:numId w:val="1019"/>
        </w:numPr>
      </w:pPr>
      <w:r>
        <w:t xml:space="preserve">HR Improvement Register</w:t>
      </w:r>
    </w:p>
    <w:p>
      <w:pPr>
        <w:pStyle w:val="Compact"/>
        <w:numPr>
          <w:ilvl w:val="0"/>
          <w:numId w:val="1019"/>
        </w:numPr>
      </w:pPr>
      <w:r>
        <w:t xml:space="preserve">HR Maturity Improvement Report</w:t>
      </w:r>
    </w:p>
    <w:p>
      <w:pPr>
        <w:pStyle w:val="Compact"/>
        <w:numPr>
          <w:ilvl w:val="0"/>
          <w:numId w:val="1019"/>
        </w:numPr>
      </w:pPr>
      <w:r>
        <w:t xml:space="preserve">HR Transformation Report</w:t>
      </w:r>
    </w:p>
    <w:p>
      <w:pPr>
        <w:pStyle w:val="Compact"/>
        <w:numPr>
          <w:ilvl w:val="0"/>
          <w:numId w:val="1019"/>
        </w:numPr>
      </w:pPr>
      <w:r>
        <w:t xml:space="preserve">Annual Executive Certification</w:t>
      </w:r>
    </w:p>
    <w:bookmarkEnd w:id="24"/>
    <w:bookmarkStart w:id="25" w:name="case-studies-examples"/>
    <w:p>
      <w:pPr>
        <w:pStyle w:val="Heading3"/>
      </w:pPr>
      <w:r>
        <w:t xml:space="preserve">17 — Case Studies &amp; Examples</w:t>
      </w:r>
    </w:p>
    <w:p>
      <w:pPr>
        <w:pStyle w:val="Compact"/>
        <w:numPr>
          <w:ilvl w:val="0"/>
          <w:numId w:val="1020"/>
        </w:numPr>
      </w:pPr>
      <w:r>
        <w:t xml:space="preserve">HROS Case Study Collection</w:t>
      </w:r>
    </w:p>
    <w:p>
      <w:pPr>
        <w:pStyle w:val="Compact"/>
        <w:numPr>
          <w:ilvl w:val="0"/>
          <w:numId w:val="1020"/>
        </w:numPr>
      </w:pPr>
      <w:r>
        <w:t xml:space="preserve">Additional HROS Case Studies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hros-system-at-a-glance"/>
    <w:p>
      <w:pPr>
        <w:pStyle w:val="Heading2"/>
      </w:pPr>
      <w:r>
        <w:t xml:space="preserve">HROS System at a Glance</w:t>
      </w:r>
    </w:p>
    <w:p>
      <w:pPr>
        <w:pStyle w:val="FirstParagraph"/>
      </w:pPr>
      <w:r>
        <w:rPr>
          <w:b/>
          <w:bCs/>
        </w:rPr>
        <w:t xml:space="preserve">Diagnose → Quantify → Implement → Operate → Govern → Improve</w:t>
      </w:r>
    </w:p>
    <w:p>
      <w:pPr>
        <w:pStyle w:val="BodyText"/>
      </w:pPr>
      <w:r>
        <w:t xml:space="preserve">HROS provides an integrated HR operating system covering:</w:t>
      </w:r>
    </w:p>
    <w:p>
      <w:pPr>
        <w:pStyle w:val="BodyText"/>
      </w:pPr>
      <w:r>
        <w:rPr>
          <w:b/>
          <w:bCs/>
        </w:rPr>
        <w:t xml:space="preserve">Diagnostics &amp; Risk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Financial Impact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Implementation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HR Operations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Workflows &amp; SOPs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AI Tools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Analytics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Governance &amp; Compliance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Policies &amp; Handbooks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HR Templates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Manager Tools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Executive Oversight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Continuous Improvement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