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454"/>
      </w:tblGrid>
      <w:tr>
        <w:tc>
          <w:tcPr>
            <w:tcW w:type="dxa" w:w="10454"/>
            <w:shd w:fill="203654"/>
          </w:tcPr>
          <w:p>
            <w:pPr>
              <w:jc w:val="center"/>
            </w:pPr>
            <w:r/>
            <w:r>
              <w:rPr>
                <w:rFonts w:ascii="Calibri" w:hAnsi="Calibri"/>
                <w:b/>
                <w:color w:val="FFFFFF"/>
                <w:sz w:val="46"/>
              </w:rPr>
              <w:t>EXOS COMPLETE TABLE OF CONTENTS</w:t>
            </w:r>
          </w:p>
          <w:p>
            <w:pPr>
              <w:jc w:val="center"/>
            </w:pPr>
            <w:r>
              <w:rPr>
                <w:rFonts w:ascii="Calibri" w:hAnsi="Calibri"/>
                <w:b/>
                <w:color w:val="D9A300"/>
                <w:sz w:val="24"/>
              </w:rPr>
              <w:t>Founder's Exit Strategy Operating System</w:t>
            </w:r>
          </w:p>
        </w:tc>
      </w:tr>
    </w:tbl>
    <w:p>
      <w:pPr>
        <w:jc w:val="center"/>
      </w:pPr>
      <w:r>
        <w:rPr>
          <w:b/>
          <w:sz w:val="22"/>
        </w:rPr>
        <w:t>246 files • 17 operating folders • One end-to-end founder exit system</w:t>
      </w: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HOW TO USE THIS TABLE OF CONTENTS</w:t>
            </w:r>
          </w:p>
        </w:tc>
      </w:tr>
    </w:tbl>
    <w:p>
      <w:pPr>
        <w:spacing w:after="0"/>
      </w:pPr>
    </w:p>
    <w:p>
      <w:pPr>
        <w:jc w:val="center"/>
      </w:pPr>
      <w:r>
        <w:t>Start in Folder 00. New users should open 00 START HERE, then follow the Quick Start, Executive Command Center, Owner Exit Decision Dashboard, and Executive Exit Advisor. After that, use this Table of Contents to see the full EXOS architecture and locate the folder or resource you need.</w:t>
      </w: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EXOS PRODUCT ARCHITECTURE</w:t>
            </w:r>
          </w:p>
        </w:tc>
      </w:tr>
    </w:tbl>
    <w:p>
      <w:pPr>
        <w:spacing w:after="0"/>
      </w:pP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203654"/>
          </w:tcPr>
          <w:p>
            <w:pPr>
              <w:spacing w:after="0"/>
            </w:pPr>
            <w:r/>
            <w:r>
              <w:rPr>
                <w:rFonts w:ascii="Calibri" w:hAnsi="Calibri"/>
                <w:b/>
                <w:color w:val="FFFFFF"/>
                <w:sz w:val="17"/>
              </w:rPr>
              <w:t>FOLDER</w:t>
            </w:r>
          </w:p>
        </w:tc>
        <w:tc>
          <w:tcPr>
            <w:tcW w:type="dxa" w:w="3485"/>
            <w:shd w:fill="203654"/>
          </w:tcPr>
          <w:p>
            <w:pPr>
              <w:spacing w:after="0"/>
            </w:pPr>
            <w:r/>
            <w:r>
              <w:rPr>
                <w:rFonts w:ascii="Calibri" w:hAnsi="Calibri"/>
                <w:b/>
                <w:color w:val="FFFFFF"/>
                <w:sz w:val="17"/>
              </w:rPr>
              <w:t>PURPOSE</w:t>
            </w:r>
          </w:p>
        </w:tc>
        <w:tc>
          <w:tcPr>
            <w:tcW w:type="dxa" w:w="3485"/>
            <w:shd w:fill="203654"/>
          </w:tcPr>
          <w:p>
            <w:pPr>
              <w:spacing w:after="0"/>
            </w:pPr>
            <w:r/>
            <w:r>
              <w:rPr>
                <w:rFonts w:ascii="Calibri" w:hAnsi="Calibri"/>
                <w:b/>
                <w:color w:val="FFFFFF"/>
                <w:sz w:val="17"/>
              </w:rPr>
              <w:t>FILES</w:t>
            </w:r>
          </w:p>
        </w:tc>
      </w:tr>
      <w:tr>
        <w:tc>
          <w:tcPr>
            <w:tcW w:type="dxa" w:w="3485"/>
          </w:tcPr>
          <w:p>
            <w:pPr>
              <w:spacing w:after="0"/>
            </w:pPr>
            <w:r/>
            <w:r>
              <w:rPr>
                <w:rFonts w:ascii="Calibri" w:hAnsi="Calibri"/>
                <w:b/>
                <w:sz w:val="16"/>
              </w:rPr>
              <w:t>00 START HERE &amp; EXECUTIVE COMMAND</w:t>
            </w:r>
          </w:p>
        </w:tc>
        <w:tc>
          <w:tcPr>
            <w:tcW w:type="dxa" w:w="3485"/>
          </w:tcPr>
          <w:p>
            <w:pPr>
              <w:spacing w:after="0"/>
            </w:pPr>
            <w:r/>
            <w:r>
              <w:rPr>
                <w:rFonts w:ascii="Calibri" w:hAnsi="Calibri"/>
                <w:b w:val="0"/>
                <w:sz w:val="16"/>
              </w:rPr>
              <w:t>Start here, orient the founder, make owner-level decisions, and run EXOS from the executive command layer.</w:t>
            </w:r>
          </w:p>
        </w:tc>
        <w:tc>
          <w:tcPr>
            <w:tcW w:type="dxa" w:w="3485"/>
          </w:tcPr>
          <w:p>
            <w:pPr>
              <w:spacing w:after="0"/>
            </w:pPr>
            <w:r/>
            <w:r>
              <w:rPr>
                <w:rFonts w:ascii="Calibri" w:hAnsi="Calibri"/>
                <w:b/>
                <w:sz w:val="16"/>
              </w:rPr>
              <w:t>13</w:t>
            </w:r>
          </w:p>
        </w:tc>
      </w:tr>
      <w:tr>
        <w:tc>
          <w:tcPr>
            <w:tcW w:type="dxa" w:w="3485"/>
            <w:shd w:fill="F5F6F7"/>
          </w:tcPr>
          <w:p>
            <w:pPr>
              <w:spacing w:after="0"/>
            </w:pPr>
            <w:r/>
            <w:r>
              <w:rPr>
                <w:rFonts w:ascii="Calibri" w:hAnsi="Calibri"/>
                <w:b/>
                <w:sz w:val="16"/>
              </w:rPr>
              <w:t>01 EXIT STRATEGY &amp; OWNER OBJECTIVES</w:t>
            </w:r>
          </w:p>
        </w:tc>
        <w:tc>
          <w:tcPr>
            <w:tcW w:type="dxa" w:w="3485"/>
            <w:shd w:fill="F5F6F7"/>
          </w:tcPr>
          <w:p>
            <w:pPr>
              <w:spacing w:after="0"/>
            </w:pPr>
            <w:r/>
            <w:r>
              <w:rPr>
                <w:rFonts w:ascii="Calibri" w:hAnsi="Calibri"/>
                <w:b w:val="0"/>
                <w:sz w:val="16"/>
              </w:rPr>
              <w:t>Clarify whether, why, and when to exit; align business timing with founder objectives and personal readiness.</w:t>
            </w:r>
          </w:p>
        </w:tc>
        <w:tc>
          <w:tcPr>
            <w:tcW w:type="dxa" w:w="3485"/>
            <w:shd w:fill="F5F6F7"/>
          </w:tcPr>
          <w:p>
            <w:pPr>
              <w:spacing w:after="0"/>
            </w:pPr>
            <w:r/>
            <w:r>
              <w:rPr>
                <w:rFonts w:ascii="Calibri" w:hAnsi="Calibri"/>
                <w:b/>
                <w:sz w:val="16"/>
              </w:rPr>
              <w:t>8</w:t>
            </w:r>
          </w:p>
        </w:tc>
      </w:tr>
      <w:tr>
        <w:tc>
          <w:tcPr>
            <w:tcW w:type="dxa" w:w="3485"/>
          </w:tcPr>
          <w:p>
            <w:pPr>
              <w:spacing w:after="0"/>
            </w:pPr>
            <w:r/>
            <w:r>
              <w:rPr>
                <w:rFonts w:ascii="Calibri" w:hAnsi="Calibri"/>
                <w:b/>
                <w:sz w:val="16"/>
              </w:rPr>
              <w:t>02 EARLY EXIT DIAGNOSTICS</w:t>
            </w:r>
          </w:p>
        </w:tc>
        <w:tc>
          <w:tcPr>
            <w:tcW w:type="dxa" w:w="3485"/>
          </w:tcPr>
          <w:p>
            <w:pPr>
              <w:spacing w:after="0"/>
            </w:pPr>
            <w:r/>
            <w:r>
              <w:rPr>
                <w:rFonts w:ascii="Calibri" w:hAnsi="Calibri"/>
                <w:b w:val="0"/>
                <w:sz w:val="16"/>
              </w:rPr>
              <w:t>Diagnose exit readiness, transferability, dependencies, financial quality, concentration, risks, and deal killers.</w:t>
            </w:r>
          </w:p>
        </w:tc>
        <w:tc>
          <w:tcPr>
            <w:tcW w:type="dxa" w:w="3485"/>
          </w:tcPr>
          <w:p>
            <w:pPr>
              <w:spacing w:after="0"/>
            </w:pPr>
            <w:r/>
            <w:r>
              <w:rPr>
                <w:rFonts w:ascii="Calibri" w:hAnsi="Calibri"/>
                <w:b/>
                <w:sz w:val="16"/>
              </w:rPr>
              <w:t>22</w:t>
            </w:r>
          </w:p>
        </w:tc>
      </w:tr>
      <w:tr>
        <w:tc>
          <w:tcPr>
            <w:tcW w:type="dxa" w:w="3485"/>
            <w:shd w:fill="F5F6F7"/>
          </w:tcPr>
          <w:p>
            <w:pPr>
              <w:spacing w:after="0"/>
            </w:pPr>
            <w:r/>
            <w:r>
              <w:rPr>
                <w:rFonts w:ascii="Calibri" w:hAnsi="Calibri"/>
                <w:b/>
                <w:sz w:val="16"/>
              </w:rPr>
              <w:t>03 VALUATION &amp; EXIT ECONOMICS</w:t>
            </w:r>
          </w:p>
        </w:tc>
        <w:tc>
          <w:tcPr>
            <w:tcW w:type="dxa" w:w="3485"/>
            <w:shd w:fill="F5F6F7"/>
          </w:tcPr>
          <w:p>
            <w:pPr>
              <w:spacing w:after="0"/>
            </w:pPr>
            <w:r/>
            <w:r>
              <w:rPr>
                <w:rFonts w:ascii="Calibri" w:hAnsi="Calibri"/>
                <w:b w:val="0"/>
                <w:sz w:val="16"/>
              </w:rPr>
              <w:t>Normalize financials, understand valuation, model proceeds, compare scenarios, and quantify the value gap.</w:t>
            </w:r>
          </w:p>
        </w:tc>
        <w:tc>
          <w:tcPr>
            <w:tcW w:type="dxa" w:w="3485"/>
            <w:shd w:fill="F5F6F7"/>
          </w:tcPr>
          <w:p>
            <w:pPr>
              <w:spacing w:after="0"/>
            </w:pPr>
            <w:r/>
            <w:r>
              <w:rPr>
                <w:rFonts w:ascii="Calibri" w:hAnsi="Calibri"/>
                <w:b/>
                <w:sz w:val="16"/>
              </w:rPr>
              <w:t>17</w:t>
            </w:r>
          </w:p>
        </w:tc>
      </w:tr>
      <w:tr>
        <w:tc>
          <w:tcPr>
            <w:tcW w:type="dxa" w:w="3485"/>
          </w:tcPr>
          <w:p>
            <w:pPr>
              <w:spacing w:after="0"/>
            </w:pPr>
            <w:r/>
            <w:r>
              <w:rPr>
                <w:rFonts w:ascii="Calibri" w:hAnsi="Calibri"/>
                <w:b/>
                <w:sz w:val="16"/>
              </w:rPr>
              <w:t>04 EXIT PLANNING &amp; VALUE CREATION</w:t>
            </w:r>
          </w:p>
        </w:tc>
        <w:tc>
          <w:tcPr>
            <w:tcW w:type="dxa" w:w="3485"/>
          </w:tcPr>
          <w:p>
            <w:pPr>
              <w:spacing w:after="0"/>
            </w:pPr>
            <w:r/>
            <w:r>
              <w:rPr>
                <w:rFonts w:ascii="Calibri" w:hAnsi="Calibri"/>
                <w:b w:val="0"/>
                <w:sz w:val="16"/>
              </w:rPr>
              <w:t>Turn exit goals into a 36-month improvement plan with milestones, projects, accountability, and go-to-market readiness.</w:t>
            </w:r>
          </w:p>
        </w:tc>
        <w:tc>
          <w:tcPr>
            <w:tcW w:type="dxa" w:w="3485"/>
          </w:tcPr>
          <w:p>
            <w:pPr>
              <w:spacing w:after="0"/>
            </w:pPr>
            <w:r/>
            <w:r>
              <w:rPr>
                <w:rFonts w:ascii="Calibri" w:hAnsi="Calibri"/>
                <w:b/>
                <w:sz w:val="16"/>
              </w:rPr>
              <w:t>16</w:t>
            </w:r>
          </w:p>
        </w:tc>
      </w:tr>
      <w:tr>
        <w:tc>
          <w:tcPr>
            <w:tcW w:type="dxa" w:w="3485"/>
            <w:shd w:fill="F5F6F7"/>
          </w:tcPr>
          <w:p>
            <w:pPr>
              <w:spacing w:after="0"/>
            </w:pPr>
            <w:r/>
            <w:r>
              <w:rPr>
                <w:rFonts w:ascii="Calibri" w:hAnsi="Calibri"/>
                <w:b/>
                <w:sz w:val="16"/>
              </w:rPr>
              <w:t>05 VALUE MAXIMIZATION OPERATING SYSTEM</w:t>
            </w:r>
          </w:p>
        </w:tc>
        <w:tc>
          <w:tcPr>
            <w:tcW w:type="dxa" w:w="3485"/>
            <w:shd w:fill="F5F6F7"/>
          </w:tcPr>
          <w:p>
            <w:pPr>
              <w:spacing w:after="0"/>
            </w:pPr>
            <w:r/>
            <w:r>
              <w:rPr>
                <w:rFonts w:ascii="Calibri" w:hAnsi="Calibri"/>
                <w:b w:val="0"/>
                <w:sz w:val="16"/>
              </w:rPr>
              <w:t>Operate value creation as a management system with command centers, KPIs, governance, reviews, and early warnings.</w:t>
            </w:r>
          </w:p>
        </w:tc>
        <w:tc>
          <w:tcPr>
            <w:tcW w:type="dxa" w:w="3485"/>
            <w:shd w:fill="F5F6F7"/>
          </w:tcPr>
          <w:p>
            <w:pPr>
              <w:spacing w:after="0"/>
            </w:pPr>
            <w:r/>
            <w:r>
              <w:rPr>
                <w:rFonts w:ascii="Calibri" w:hAnsi="Calibri"/>
                <w:b/>
                <w:sz w:val="16"/>
              </w:rPr>
              <w:t>12</w:t>
            </w:r>
          </w:p>
        </w:tc>
      </w:tr>
      <w:tr>
        <w:tc>
          <w:tcPr>
            <w:tcW w:type="dxa" w:w="3485"/>
          </w:tcPr>
          <w:p>
            <w:pPr>
              <w:spacing w:after="0"/>
            </w:pPr>
            <w:r/>
            <w:r>
              <w:rPr>
                <w:rFonts w:ascii="Calibri" w:hAnsi="Calibri"/>
                <w:b/>
                <w:sz w:val="16"/>
              </w:rPr>
              <w:t>06 EXIT CALCULATOR SUITE</w:t>
            </w:r>
          </w:p>
        </w:tc>
        <w:tc>
          <w:tcPr>
            <w:tcW w:type="dxa" w:w="3485"/>
          </w:tcPr>
          <w:p>
            <w:pPr>
              <w:spacing w:after="0"/>
            </w:pPr>
            <w:r/>
            <w:r>
              <w:rPr>
                <w:rFonts w:ascii="Calibri" w:hAnsi="Calibri"/>
                <w:b w:val="0"/>
                <w:sz w:val="16"/>
              </w:rPr>
              <w:t>Model valuation, proceeds, taxes, deal structures, risk, concentration, earnouts, financing, working capital, and costs.</w:t>
            </w:r>
          </w:p>
        </w:tc>
        <w:tc>
          <w:tcPr>
            <w:tcW w:type="dxa" w:w="3485"/>
          </w:tcPr>
          <w:p>
            <w:pPr>
              <w:spacing w:after="0"/>
            </w:pPr>
            <w:r/>
            <w:r>
              <w:rPr>
                <w:rFonts w:ascii="Calibri" w:hAnsi="Calibri"/>
                <w:b/>
                <w:sz w:val="16"/>
              </w:rPr>
              <w:t>19</w:t>
            </w:r>
          </w:p>
        </w:tc>
      </w:tr>
      <w:tr>
        <w:tc>
          <w:tcPr>
            <w:tcW w:type="dxa" w:w="3485"/>
            <w:shd w:fill="F5F6F7"/>
          </w:tcPr>
          <w:p>
            <w:pPr>
              <w:spacing w:after="0"/>
            </w:pPr>
            <w:r/>
            <w:r>
              <w:rPr>
                <w:rFonts w:ascii="Calibri" w:hAnsi="Calibri"/>
                <w:b/>
                <w:sz w:val="16"/>
              </w:rPr>
              <w:t>07 AI EXIT INTELLIGENCE</w:t>
            </w:r>
          </w:p>
        </w:tc>
        <w:tc>
          <w:tcPr>
            <w:tcW w:type="dxa" w:w="3485"/>
            <w:shd w:fill="F5F6F7"/>
          </w:tcPr>
          <w:p>
            <w:pPr>
              <w:spacing w:after="0"/>
            </w:pPr>
            <w:r/>
            <w:r>
              <w:rPr>
                <w:rFonts w:ascii="Calibri" w:hAnsi="Calibri"/>
                <w:b w:val="0"/>
                <w:sz w:val="16"/>
              </w:rPr>
              <w:t>Use AI-assisted analysis and prompt-driven decision support across readiness, valuation, buyers, diligence, LOIs, negotiation, and transition.</w:t>
            </w:r>
          </w:p>
        </w:tc>
        <w:tc>
          <w:tcPr>
            <w:tcW w:type="dxa" w:w="3485"/>
            <w:shd w:fill="F5F6F7"/>
          </w:tcPr>
          <w:p>
            <w:pPr>
              <w:spacing w:after="0"/>
            </w:pPr>
            <w:r/>
            <w:r>
              <w:rPr>
                <w:rFonts w:ascii="Calibri" w:hAnsi="Calibri"/>
                <w:b/>
                <w:sz w:val="16"/>
              </w:rPr>
              <w:t>20</w:t>
            </w:r>
          </w:p>
        </w:tc>
      </w:tr>
      <w:tr>
        <w:tc>
          <w:tcPr>
            <w:tcW w:type="dxa" w:w="3485"/>
          </w:tcPr>
          <w:p>
            <w:pPr>
              <w:spacing w:after="0"/>
            </w:pPr>
            <w:r/>
            <w:r>
              <w:rPr>
                <w:rFonts w:ascii="Calibri" w:hAnsi="Calibri"/>
                <w:b/>
                <w:sz w:val="16"/>
              </w:rPr>
              <w:t>08 EXIT PREPARATION &amp; TRANSACTION READINESS</w:t>
            </w:r>
          </w:p>
        </w:tc>
        <w:tc>
          <w:tcPr>
            <w:tcW w:type="dxa" w:w="3485"/>
          </w:tcPr>
          <w:p>
            <w:pPr>
              <w:spacing w:after="0"/>
            </w:pPr>
            <w:r/>
            <w:r>
              <w:rPr>
                <w:rFonts w:ascii="Calibri" w:hAnsi="Calibri"/>
                <w:b w:val="0"/>
                <w:sz w:val="16"/>
              </w:rPr>
              <w:t>Prepare the company, deal team, financial information, data room, buyer materials, management presentation, and legal checklist.</w:t>
            </w:r>
          </w:p>
        </w:tc>
        <w:tc>
          <w:tcPr>
            <w:tcW w:type="dxa" w:w="3485"/>
          </w:tcPr>
          <w:p>
            <w:pPr>
              <w:spacing w:after="0"/>
            </w:pPr>
            <w:r/>
            <w:r>
              <w:rPr>
                <w:rFonts w:ascii="Calibri" w:hAnsi="Calibri"/>
                <w:b/>
                <w:sz w:val="16"/>
              </w:rPr>
              <w:t>16</w:t>
            </w:r>
          </w:p>
        </w:tc>
      </w:tr>
      <w:tr>
        <w:tc>
          <w:tcPr>
            <w:tcW w:type="dxa" w:w="3485"/>
            <w:shd w:fill="F5F6F7"/>
          </w:tcPr>
          <w:p>
            <w:pPr>
              <w:spacing w:after="0"/>
            </w:pPr>
            <w:r/>
            <w:r>
              <w:rPr>
                <w:rFonts w:ascii="Calibri" w:hAnsi="Calibri"/>
                <w:b/>
                <w:sz w:val="16"/>
              </w:rPr>
              <w:t>09 BUYER STRATEGY &amp; QUALIFICATION</w:t>
            </w:r>
          </w:p>
        </w:tc>
        <w:tc>
          <w:tcPr>
            <w:tcW w:type="dxa" w:w="3485"/>
            <w:shd w:fill="F5F6F7"/>
          </w:tcPr>
          <w:p>
            <w:pPr>
              <w:spacing w:after="0"/>
            </w:pPr>
            <w:r/>
            <w:r>
              <w:rPr>
                <w:rFonts w:ascii="Calibri" w:hAnsi="Calibri"/>
                <w:b w:val="0"/>
                <w:sz w:val="16"/>
              </w:rPr>
              <w:t>Build and qualify the buyer universe, rank prospects, assess capacity and certainty, and control buyer outreach and confidentiality.</w:t>
            </w:r>
          </w:p>
        </w:tc>
        <w:tc>
          <w:tcPr>
            <w:tcW w:type="dxa" w:w="3485"/>
            <w:shd w:fill="F5F6F7"/>
          </w:tcPr>
          <w:p>
            <w:pPr>
              <w:spacing w:after="0"/>
            </w:pPr>
            <w:r/>
            <w:r>
              <w:rPr>
                <w:rFonts w:ascii="Calibri" w:hAnsi="Calibri"/>
                <w:b/>
                <w:sz w:val="16"/>
              </w:rPr>
              <w:t>11</w:t>
            </w:r>
          </w:p>
        </w:tc>
      </w:tr>
      <w:tr>
        <w:tc>
          <w:tcPr>
            <w:tcW w:type="dxa" w:w="3485"/>
          </w:tcPr>
          <w:p>
            <w:pPr>
              <w:spacing w:after="0"/>
            </w:pPr>
            <w:r/>
            <w:r>
              <w:rPr>
                <w:rFonts w:ascii="Calibri" w:hAnsi="Calibri"/>
                <w:b/>
                <w:sz w:val="16"/>
              </w:rPr>
              <w:t>10 TRANSACTION EXECUTION &amp; DEAL CONTROL</w:t>
            </w:r>
          </w:p>
        </w:tc>
        <w:tc>
          <w:tcPr>
            <w:tcW w:type="dxa" w:w="3485"/>
          </w:tcPr>
          <w:p>
            <w:pPr>
              <w:spacing w:after="0"/>
            </w:pPr>
            <w:r/>
            <w:r>
              <w:rPr>
                <w:rFonts w:ascii="Calibri" w:hAnsi="Calibri"/>
                <w:b w:val="0"/>
                <w:sz w:val="16"/>
              </w:rPr>
              <w:t>Control the active transaction through timelines, gates, issues, decisions, weekly reviews, deal comparison, and proceeds reconciliation.</w:t>
            </w:r>
          </w:p>
        </w:tc>
        <w:tc>
          <w:tcPr>
            <w:tcW w:type="dxa" w:w="3485"/>
          </w:tcPr>
          <w:p>
            <w:pPr>
              <w:spacing w:after="0"/>
            </w:pPr>
            <w:r/>
            <w:r>
              <w:rPr>
                <w:rFonts w:ascii="Calibri" w:hAnsi="Calibri"/>
                <w:b/>
                <w:sz w:val="16"/>
              </w:rPr>
              <w:t>15</w:t>
            </w:r>
          </w:p>
        </w:tc>
      </w:tr>
      <w:tr>
        <w:tc>
          <w:tcPr>
            <w:tcW w:type="dxa" w:w="3485"/>
            <w:shd w:fill="F5F6F7"/>
          </w:tcPr>
          <w:p>
            <w:pPr>
              <w:spacing w:after="0"/>
            </w:pPr>
            <w:r/>
            <w:r>
              <w:rPr>
                <w:rFonts w:ascii="Calibri" w:hAnsi="Calibri"/>
                <w:b/>
                <w:sz w:val="16"/>
              </w:rPr>
              <w:t>11 DUE DILIGENCE &amp; DEAL PROTECTION</w:t>
            </w:r>
          </w:p>
        </w:tc>
        <w:tc>
          <w:tcPr>
            <w:tcW w:type="dxa" w:w="3485"/>
            <w:shd w:fill="F5F6F7"/>
          </w:tcPr>
          <w:p>
            <w:pPr>
              <w:spacing w:after="0"/>
            </w:pPr>
            <w:r/>
            <w:r>
              <w:rPr>
                <w:rFonts w:ascii="Calibri" w:hAnsi="Calibri"/>
                <w:b w:val="0"/>
                <w:sz w:val="16"/>
              </w:rPr>
              <w:t>Manage diligence requests, findings, exposures, red flags, QoE responses, disclosures, and deal-protection actions.</w:t>
            </w:r>
          </w:p>
        </w:tc>
        <w:tc>
          <w:tcPr>
            <w:tcW w:type="dxa" w:w="3485"/>
            <w:shd w:fill="F5F6F7"/>
          </w:tcPr>
          <w:p>
            <w:pPr>
              <w:spacing w:after="0"/>
            </w:pPr>
            <w:r/>
            <w:r>
              <w:rPr>
                <w:rFonts w:ascii="Calibri" w:hAnsi="Calibri"/>
                <w:b/>
                <w:sz w:val="16"/>
              </w:rPr>
              <w:t>13</w:t>
            </w:r>
          </w:p>
        </w:tc>
      </w:tr>
      <w:tr>
        <w:tc>
          <w:tcPr>
            <w:tcW w:type="dxa" w:w="3485"/>
          </w:tcPr>
          <w:p>
            <w:pPr>
              <w:spacing w:after="0"/>
            </w:pPr>
            <w:r/>
            <w:r>
              <w:rPr>
                <w:rFonts w:ascii="Calibri" w:hAnsi="Calibri"/>
                <w:b/>
                <w:sz w:val="16"/>
              </w:rPr>
              <w:t>12 NEGOTIATION, LOI &amp; DEAL STRUCTURE</w:t>
            </w:r>
          </w:p>
        </w:tc>
        <w:tc>
          <w:tcPr>
            <w:tcW w:type="dxa" w:w="3485"/>
          </w:tcPr>
          <w:p>
            <w:pPr>
              <w:spacing w:after="0"/>
            </w:pPr>
            <w:r/>
            <w:r>
              <w:rPr>
                <w:rFonts w:ascii="Calibri" w:hAnsi="Calibri"/>
                <w:b w:val="0"/>
                <w:sz w:val="16"/>
              </w:rPr>
              <w:t>Evaluate LOIs and deal structures, negotiate economics and protections, track concessions and re-trades, and know when to walk away.</w:t>
            </w:r>
          </w:p>
        </w:tc>
        <w:tc>
          <w:tcPr>
            <w:tcW w:type="dxa" w:w="3485"/>
          </w:tcPr>
          <w:p>
            <w:pPr>
              <w:spacing w:after="0"/>
            </w:pPr>
            <w:r/>
            <w:r>
              <w:rPr>
                <w:rFonts w:ascii="Calibri" w:hAnsi="Calibri"/>
                <w:b/>
                <w:sz w:val="16"/>
              </w:rPr>
              <w:t>19</w:t>
            </w:r>
          </w:p>
        </w:tc>
      </w:tr>
      <w:tr>
        <w:tc>
          <w:tcPr>
            <w:tcW w:type="dxa" w:w="3485"/>
            <w:shd w:fill="F5F6F7"/>
          </w:tcPr>
          <w:p>
            <w:pPr>
              <w:spacing w:after="0"/>
            </w:pPr>
            <w:r/>
            <w:r>
              <w:rPr>
                <w:rFonts w:ascii="Calibri" w:hAnsi="Calibri"/>
                <w:b/>
                <w:sz w:val="16"/>
              </w:rPr>
              <w:t>13 CLOSING &amp; TRANSITION</w:t>
            </w:r>
          </w:p>
        </w:tc>
        <w:tc>
          <w:tcPr>
            <w:tcW w:type="dxa" w:w="3485"/>
            <w:shd w:fill="F5F6F7"/>
          </w:tcPr>
          <w:p>
            <w:pPr>
              <w:spacing w:after="0"/>
            </w:pPr>
            <w:r/>
            <w:r>
              <w:rPr>
                <w:rFonts w:ascii="Calibri" w:hAnsi="Calibri"/>
                <w:b w:val="0"/>
                <w:sz w:val="16"/>
              </w:rPr>
              <w:t>Drive closing readiness, conditions, fees, Day 1 transition, and post-close seller obligations.</w:t>
            </w:r>
          </w:p>
        </w:tc>
        <w:tc>
          <w:tcPr>
            <w:tcW w:type="dxa" w:w="3485"/>
            <w:shd w:fill="F5F6F7"/>
          </w:tcPr>
          <w:p>
            <w:pPr>
              <w:spacing w:after="0"/>
            </w:pPr>
            <w:r/>
            <w:r>
              <w:rPr>
                <w:rFonts w:ascii="Calibri" w:hAnsi="Calibri"/>
                <w:b/>
                <w:sz w:val="16"/>
              </w:rPr>
              <w:t>8</w:t>
            </w:r>
          </w:p>
        </w:tc>
      </w:tr>
      <w:tr>
        <w:tc>
          <w:tcPr>
            <w:tcW w:type="dxa" w:w="3485"/>
          </w:tcPr>
          <w:p>
            <w:pPr>
              <w:spacing w:after="0"/>
            </w:pPr>
            <w:r/>
            <w:r>
              <w:rPr>
                <w:rFonts w:ascii="Calibri" w:hAnsi="Calibri"/>
                <w:b/>
                <w:sz w:val="16"/>
              </w:rPr>
              <w:t>14 POST-EXIT WEALTH, LIFE &amp; LEGACY</w:t>
            </w:r>
          </w:p>
        </w:tc>
        <w:tc>
          <w:tcPr>
            <w:tcW w:type="dxa" w:w="3485"/>
          </w:tcPr>
          <w:p>
            <w:pPr>
              <w:spacing w:after="0"/>
            </w:pPr>
            <w:r/>
            <w:r>
              <w:rPr>
                <w:rFonts w:ascii="Calibri" w:hAnsi="Calibri"/>
                <w:b w:val="0"/>
                <w:sz w:val="16"/>
              </w:rPr>
              <w:t>Plan taxes, after-tax proceeds, wealth deployment, founder identity and life transition, legacy, and succession.</w:t>
            </w:r>
          </w:p>
        </w:tc>
        <w:tc>
          <w:tcPr>
            <w:tcW w:type="dxa" w:w="3485"/>
          </w:tcPr>
          <w:p>
            <w:pPr>
              <w:spacing w:after="0"/>
            </w:pPr>
            <w:r/>
            <w:r>
              <w:rPr>
                <w:rFonts w:ascii="Calibri" w:hAnsi="Calibri"/>
                <w:b/>
                <w:sz w:val="16"/>
              </w:rPr>
              <w:t>16</w:t>
            </w:r>
          </w:p>
        </w:tc>
      </w:tr>
      <w:tr>
        <w:tc>
          <w:tcPr>
            <w:tcW w:type="dxa" w:w="3485"/>
            <w:shd w:fill="F5F6F7"/>
          </w:tcPr>
          <w:p>
            <w:pPr>
              <w:spacing w:after="0"/>
            </w:pPr>
            <w:r/>
            <w:r>
              <w:rPr>
                <w:rFonts w:ascii="Calibri" w:hAnsi="Calibri"/>
                <w:b/>
                <w:sz w:val="16"/>
              </w:rPr>
              <w:t>15 REFERENCE, CASE STUDIES &amp; ADVANCED RESOURCES</w:t>
            </w:r>
          </w:p>
        </w:tc>
        <w:tc>
          <w:tcPr>
            <w:tcW w:type="dxa" w:w="3485"/>
            <w:shd w:fill="F5F6F7"/>
          </w:tcPr>
          <w:p>
            <w:pPr>
              <w:spacing w:after="0"/>
            </w:pPr>
            <w:r/>
            <w:r>
              <w:rPr>
                <w:rFonts w:ascii="Calibri" w:hAnsi="Calibri"/>
                <w:b w:val="0"/>
                <w:sz w:val="16"/>
              </w:rPr>
              <w:t>Reference advanced exit scenarios, founder mistakes, ESOP feasibility, and practical case studies across multiple deal types.</w:t>
            </w:r>
          </w:p>
        </w:tc>
        <w:tc>
          <w:tcPr>
            <w:tcW w:type="dxa" w:w="3485"/>
            <w:shd w:fill="F5F6F7"/>
          </w:tcPr>
          <w:p>
            <w:pPr>
              <w:spacing w:after="0"/>
            </w:pPr>
            <w:r/>
            <w:r>
              <w:rPr>
                <w:rFonts w:ascii="Calibri" w:hAnsi="Calibri"/>
                <w:b/>
                <w:sz w:val="16"/>
              </w:rPr>
              <w:t>17</w:t>
            </w:r>
          </w:p>
        </w:tc>
      </w:tr>
      <w:tr>
        <w:tc>
          <w:tcPr>
            <w:tcW w:type="dxa" w:w="3485"/>
          </w:tcPr>
          <w:p>
            <w:pPr>
              <w:spacing w:after="0"/>
            </w:pPr>
            <w:r/>
            <w:r>
              <w:rPr>
                <w:rFonts w:ascii="Calibri" w:hAnsi="Calibri"/>
                <w:b/>
                <w:sz w:val="16"/>
              </w:rPr>
              <w:t>16 LICENSE, LEGAL &amp; CUSTOMER SUPPORT</w:t>
            </w:r>
          </w:p>
        </w:tc>
        <w:tc>
          <w:tcPr>
            <w:tcW w:type="dxa" w:w="3485"/>
          </w:tcPr>
          <w:p>
            <w:pPr>
              <w:spacing w:after="0"/>
            </w:pPr>
            <w:r/>
            <w:r>
              <w:rPr>
                <w:rFonts w:ascii="Calibri" w:hAnsi="Calibri"/>
                <w:b w:val="0"/>
                <w:sz w:val="16"/>
              </w:rPr>
              <w:t>Customer license, legal/professional-use disclaimer, satisfaction guarantee, and support-related package terms.</w:t>
            </w:r>
          </w:p>
        </w:tc>
        <w:tc>
          <w:tcPr>
            <w:tcW w:type="dxa" w:w="3485"/>
          </w:tcPr>
          <w:p>
            <w:pPr>
              <w:spacing w:after="0"/>
            </w:pPr>
            <w:r/>
            <w:r>
              <w:rPr>
                <w:rFonts w:ascii="Calibri" w:hAnsi="Calibri"/>
                <w:b/>
                <w:sz w:val="16"/>
              </w:rPr>
              <w:t>4</w:t>
            </w:r>
          </w:p>
        </w:tc>
      </w:tr>
    </w:tbl>
    <w:p>
      <w:r>
        <w:br w:type="page"/>
      </w: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00 START HERE &amp; EXECUTIVE COMMAND</w:t>
            </w:r>
          </w:p>
        </w:tc>
      </w:tr>
    </w:tbl>
    <w:p>
      <w:pPr>
        <w:spacing w:after="0"/>
      </w:pPr>
    </w:p>
    <w:p>
      <w:pPr>
        <w:spacing w:after="100"/>
      </w:pPr>
      <w:r>
        <w:t>Start here, orient the founder, make owner-level decisions, and run EXOS from the executive command layer.</w:t>
      </w:r>
    </w:p>
    <w:p>
      <w:pPr>
        <w:spacing w:after="30"/>
        <w:ind w:left="115" w:hanging="115"/>
      </w:pPr>
      <w:r>
        <w:rPr>
          <w:rFonts w:ascii="Calibri" w:hAnsi="Calibri"/>
          <w:b/>
          <w:color w:val="203654"/>
          <w:sz w:val="18"/>
        </w:rPr>
        <w:t>00 START HERE.html</w:t>
      </w:r>
    </w:p>
    <w:p>
      <w:pPr>
        <w:spacing w:after="30"/>
        <w:ind w:left="115" w:hanging="115"/>
      </w:pPr>
      <w:r>
        <w:rPr>
          <w:rFonts w:ascii="Calibri" w:hAnsi="Calibri"/>
          <w:sz w:val="18"/>
        </w:rPr>
        <w:t>01 Executive Command Center.html</w:t>
      </w:r>
    </w:p>
    <w:p>
      <w:pPr>
        <w:spacing w:after="30"/>
        <w:ind w:left="115" w:hanging="115"/>
      </w:pPr>
      <w:r>
        <w:rPr>
          <w:rFonts w:ascii="Calibri" w:hAnsi="Calibri"/>
          <w:sz w:val="18"/>
        </w:rPr>
        <w:t>02 Owner Exit Decision Dashboard.html</w:t>
      </w:r>
    </w:p>
    <w:p>
      <w:pPr>
        <w:spacing w:after="30"/>
        <w:ind w:left="115" w:hanging="115"/>
      </w:pPr>
      <w:r>
        <w:rPr>
          <w:rFonts w:ascii="Calibri" w:hAnsi="Calibri"/>
          <w:sz w:val="18"/>
        </w:rPr>
        <w:t>03 Executive Exit Advisor.html</w:t>
      </w:r>
    </w:p>
    <w:p>
      <w:pPr>
        <w:spacing w:after="30"/>
        <w:ind w:left="115" w:hanging="115"/>
      </w:pPr>
      <w:r>
        <w:rPr>
          <w:rFonts w:ascii="Calibri" w:hAnsi="Calibri"/>
          <w:sz w:val="18"/>
        </w:rPr>
        <w:t>04 EXOS Quick Start - First 30 Minutes.docx</w:t>
      </w:r>
    </w:p>
    <w:p>
      <w:pPr>
        <w:spacing w:after="30"/>
        <w:ind w:left="115" w:hanging="115"/>
      </w:pPr>
      <w:r>
        <w:rPr>
          <w:rFonts w:ascii="Calibri" w:hAnsi="Calibri"/>
          <w:sz w:val="18"/>
        </w:rPr>
        <w:t>05 Welcome &amp; Complete Overview.docx</w:t>
      </w:r>
    </w:p>
    <w:p>
      <w:pPr>
        <w:spacing w:after="30"/>
        <w:ind w:left="115" w:hanging="115"/>
      </w:pPr>
      <w:r>
        <w:rPr>
          <w:rFonts w:ascii="Calibri" w:hAnsi="Calibri"/>
          <w:sz w:val="18"/>
        </w:rPr>
        <w:t>06 How to Use This System.pdf</w:t>
      </w:r>
    </w:p>
    <w:p>
      <w:pPr>
        <w:spacing w:after="30"/>
        <w:ind w:left="115" w:hanging="115"/>
      </w:pPr>
      <w:r>
        <w:rPr>
          <w:rFonts w:ascii="Calibri" w:hAnsi="Calibri"/>
          <w:sz w:val="18"/>
        </w:rPr>
        <w:t>07 System Architecture &amp; How It Works.docx</w:t>
      </w:r>
    </w:p>
    <w:p>
      <w:pPr>
        <w:spacing w:after="30"/>
        <w:ind w:left="115" w:hanging="115"/>
      </w:pPr>
      <w:r>
        <w:rPr>
          <w:rFonts w:ascii="Calibri" w:hAnsi="Calibri"/>
          <w:sz w:val="18"/>
        </w:rPr>
        <w:t>08 Founder Exit Master Checklist.docx</w:t>
      </w:r>
    </w:p>
    <w:p>
      <w:pPr>
        <w:spacing w:after="30"/>
        <w:ind w:left="115" w:hanging="115"/>
      </w:pPr>
      <w:r>
        <w:rPr>
          <w:rFonts w:ascii="Calibri" w:hAnsi="Calibri"/>
          <w:sz w:val="18"/>
        </w:rPr>
        <w:t>09 Interactive Tools User Guide.docx</w:t>
      </w:r>
    </w:p>
    <w:p>
      <w:pPr>
        <w:spacing w:after="30"/>
        <w:ind w:left="115" w:hanging="115"/>
      </w:pPr>
      <w:r>
        <w:rPr>
          <w:rFonts w:ascii="Calibri" w:hAnsi="Calibri"/>
          <w:sz w:val="18"/>
        </w:rPr>
        <w:t>10 Founders Exit Reference Guide.docx</w:t>
      </w:r>
    </w:p>
    <w:p>
      <w:pPr>
        <w:spacing w:after="30"/>
        <w:ind w:left="115" w:hanging="115"/>
      </w:pPr>
      <w:r>
        <w:rPr>
          <w:rFonts w:ascii="Calibri" w:hAnsi="Calibri"/>
          <w:sz w:val="18"/>
        </w:rPr>
        <w:t>11 System Owner &amp; Administrator Guide.docx</w:t>
      </w:r>
    </w:p>
    <w:p>
      <w:pPr>
        <w:spacing w:after="30"/>
        <w:ind w:left="115" w:hanging="115"/>
      </w:pPr>
      <w:r>
        <w:rPr>
          <w:rFonts w:ascii="Calibri" w:hAnsi="Calibri"/>
          <w:sz w:val="18"/>
        </w:rPr>
        <w:t>EXOS COVER.png</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01 EXIT STRATEGY &amp; OWNER OBJECTIVES</w:t>
            </w:r>
          </w:p>
        </w:tc>
      </w:tr>
    </w:tbl>
    <w:p>
      <w:pPr>
        <w:spacing w:after="0"/>
      </w:pPr>
    </w:p>
    <w:p>
      <w:pPr>
        <w:spacing w:after="100"/>
      </w:pPr>
      <w:r>
        <w:t>Clarify whether, why, and when to exit; align business timing with founder objectives and personal readiness.</w:t>
      </w:r>
    </w:p>
    <w:p>
      <w:pPr>
        <w:spacing w:after="30"/>
        <w:ind w:left="115" w:hanging="115"/>
      </w:pPr>
      <w:r>
        <w:rPr>
          <w:rFonts w:ascii="Calibri" w:hAnsi="Calibri"/>
          <w:b/>
          <w:color w:val="203654"/>
          <w:sz w:val="18"/>
        </w:rPr>
        <w:t>00 START HERE — Exit Strategy &amp; Owner Objectives.html</w:t>
      </w:r>
    </w:p>
    <w:p>
      <w:pPr>
        <w:spacing w:after="30"/>
        <w:ind w:left="115" w:hanging="115"/>
      </w:pPr>
      <w:r>
        <w:rPr>
          <w:rFonts w:ascii="Calibri" w:hAnsi="Calibri"/>
          <w:sz w:val="18"/>
        </w:rPr>
        <w:t>01 Should I Sell Now Framework.docx</w:t>
      </w:r>
    </w:p>
    <w:p>
      <w:pPr>
        <w:spacing w:after="30"/>
        <w:ind w:left="115" w:hanging="115"/>
      </w:pPr>
      <w:r>
        <w:rPr>
          <w:rFonts w:ascii="Calibri" w:hAnsi="Calibri"/>
          <w:sz w:val="18"/>
        </w:rPr>
        <w:t>02 Founder Transition Readiness Assessment.docx</w:t>
      </w:r>
    </w:p>
    <w:p>
      <w:pPr>
        <w:spacing w:after="30"/>
        <w:ind w:left="115" w:hanging="115"/>
      </w:pPr>
      <w:r>
        <w:rPr>
          <w:rFonts w:ascii="Calibri" w:hAnsi="Calibri"/>
          <w:sz w:val="18"/>
        </w:rPr>
        <w:t>03 Founder Personal Financial Readiness.docx</w:t>
      </w:r>
    </w:p>
    <w:p>
      <w:pPr>
        <w:spacing w:after="30"/>
        <w:ind w:left="115" w:hanging="115"/>
      </w:pPr>
      <w:r>
        <w:rPr>
          <w:rFonts w:ascii="Calibri" w:hAnsi="Calibri"/>
          <w:sz w:val="18"/>
        </w:rPr>
        <w:t>04 Burnout vs Readiness Diagnostic.docx</w:t>
      </w:r>
    </w:p>
    <w:p>
      <w:pPr>
        <w:spacing w:after="30"/>
        <w:ind w:left="115" w:hanging="115"/>
      </w:pPr>
      <w:r>
        <w:rPr>
          <w:rFonts w:ascii="Calibri" w:hAnsi="Calibri"/>
          <w:sz w:val="18"/>
        </w:rPr>
        <w:t>05 Exit Timing Scorecard.docx</w:t>
      </w:r>
    </w:p>
    <w:p>
      <w:pPr>
        <w:spacing w:after="30"/>
        <w:ind w:left="115" w:hanging="115"/>
      </w:pPr>
      <w:r>
        <w:rPr>
          <w:rFonts w:ascii="Calibri" w:hAnsi="Calibri"/>
          <w:sz w:val="18"/>
        </w:rPr>
        <w:t>06 Exit Timing Score — When the Market Says Sell Now.docx</w:t>
      </w:r>
    </w:p>
    <w:p>
      <w:pPr>
        <w:spacing w:after="30"/>
        <w:ind w:left="115" w:hanging="115"/>
      </w:pPr>
      <w:r>
        <w:rPr>
          <w:rFonts w:ascii="Calibri" w:hAnsi="Calibri"/>
          <w:sz w:val="18"/>
        </w:rPr>
        <w:t>07 Exit Advisory Team Command Center.html</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02 EARLY EXIT DIAGNOSTICS</w:t>
            </w:r>
          </w:p>
        </w:tc>
      </w:tr>
    </w:tbl>
    <w:p>
      <w:pPr>
        <w:spacing w:after="0"/>
      </w:pPr>
    </w:p>
    <w:p>
      <w:pPr>
        <w:spacing w:after="100"/>
      </w:pPr>
      <w:r>
        <w:t>Diagnose exit readiness, transferability, dependencies, financial quality, concentration, risks, and deal killers.</w:t>
      </w:r>
    </w:p>
    <w:p>
      <w:pPr>
        <w:spacing w:after="30"/>
        <w:ind w:left="115" w:hanging="115"/>
      </w:pPr>
      <w:r>
        <w:rPr>
          <w:rFonts w:ascii="Calibri" w:hAnsi="Calibri"/>
          <w:b/>
          <w:color w:val="203654"/>
          <w:sz w:val="18"/>
        </w:rPr>
        <w:t>00 START HERE — Early Exit Diagnostics.html</w:t>
      </w:r>
    </w:p>
    <w:p>
      <w:pPr>
        <w:spacing w:after="30"/>
        <w:ind w:left="115" w:hanging="115"/>
      </w:pPr>
      <w:r>
        <w:rPr>
          <w:rFonts w:ascii="Calibri" w:hAnsi="Calibri"/>
          <w:sz w:val="18"/>
        </w:rPr>
        <w:t>01 Executive Exit Readiness Assessment.html</w:t>
      </w:r>
    </w:p>
    <w:p>
      <w:pPr>
        <w:spacing w:after="30"/>
        <w:ind w:left="115" w:hanging="115"/>
      </w:pPr>
      <w:r>
        <w:rPr>
          <w:rFonts w:ascii="Calibri" w:hAnsi="Calibri"/>
          <w:sz w:val="18"/>
        </w:rPr>
        <w:t>02 Exit Readiness Index.docx</w:t>
      </w:r>
    </w:p>
    <w:p>
      <w:pPr>
        <w:spacing w:after="30"/>
        <w:ind w:left="115" w:hanging="115"/>
      </w:pPr>
      <w:r>
        <w:rPr>
          <w:rFonts w:ascii="Calibri" w:hAnsi="Calibri"/>
          <w:sz w:val="18"/>
        </w:rPr>
        <w:t>03 Founder Dependency Assessment.html</w:t>
      </w:r>
    </w:p>
    <w:p>
      <w:pPr>
        <w:spacing w:after="30"/>
        <w:ind w:left="115" w:hanging="115"/>
      </w:pPr>
      <w:r>
        <w:rPr>
          <w:rFonts w:ascii="Calibri" w:hAnsi="Calibri"/>
          <w:sz w:val="18"/>
        </w:rPr>
        <w:t>04 Business Transferability Assessment.html</w:t>
      </w:r>
    </w:p>
    <w:p>
      <w:pPr>
        <w:spacing w:after="30"/>
        <w:ind w:left="115" w:hanging="115"/>
      </w:pPr>
      <w:r>
        <w:rPr>
          <w:rFonts w:ascii="Calibri" w:hAnsi="Calibri"/>
          <w:sz w:val="18"/>
        </w:rPr>
        <w:t>05 Operational Independence Assessment.html</w:t>
      </w:r>
    </w:p>
    <w:p>
      <w:pPr>
        <w:spacing w:after="30"/>
        <w:ind w:left="115" w:hanging="115"/>
      </w:pPr>
      <w:r>
        <w:rPr>
          <w:rFonts w:ascii="Calibri" w:hAnsi="Calibri"/>
          <w:sz w:val="18"/>
        </w:rPr>
        <w:t>06 Management Depth Assessment.html</w:t>
      </w:r>
    </w:p>
    <w:p>
      <w:pPr>
        <w:spacing w:after="30"/>
        <w:ind w:left="115" w:hanging="115"/>
      </w:pPr>
      <w:r>
        <w:rPr>
          <w:rFonts w:ascii="Calibri" w:hAnsi="Calibri"/>
          <w:sz w:val="18"/>
        </w:rPr>
        <w:t>07 Financial Readiness Assessment.html</w:t>
      </w:r>
    </w:p>
    <w:p>
      <w:pPr>
        <w:spacing w:after="30"/>
        <w:ind w:left="115" w:hanging="115"/>
      </w:pPr>
      <w:r>
        <w:rPr>
          <w:rFonts w:ascii="Calibri" w:hAnsi="Calibri"/>
          <w:sz w:val="18"/>
        </w:rPr>
        <w:t>08 Revenue Quality Assessment.html</w:t>
      </w:r>
    </w:p>
    <w:p>
      <w:pPr>
        <w:spacing w:after="30"/>
        <w:ind w:left="115" w:hanging="115"/>
      </w:pPr>
      <w:r>
        <w:rPr>
          <w:rFonts w:ascii="Calibri" w:hAnsi="Calibri"/>
          <w:sz w:val="18"/>
        </w:rPr>
        <w:t>09 Customer Concentration Assessment.html</w:t>
      </w:r>
    </w:p>
    <w:p>
      <w:pPr>
        <w:spacing w:after="30"/>
        <w:ind w:left="115" w:hanging="115"/>
      </w:pPr>
      <w:r>
        <w:rPr>
          <w:rFonts w:ascii="Calibri" w:hAnsi="Calibri"/>
          <w:sz w:val="18"/>
        </w:rPr>
        <w:t>10 Value Driver Assessment.html</w:t>
      </w:r>
    </w:p>
    <w:p>
      <w:pPr>
        <w:spacing w:after="30"/>
        <w:ind w:left="115" w:hanging="115"/>
      </w:pPr>
      <w:r>
        <w:rPr>
          <w:rFonts w:ascii="Calibri" w:hAnsi="Calibri"/>
          <w:sz w:val="18"/>
        </w:rPr>
        <w:t>11 Value Gap Assessment.html</w:t>
      </w:r>
    </w:p>
    <w:p>
      <w:pPr>
        <w:spacing w:after="30"/>
        <w:ind w:left="115" w:hanging="115"/>
      </w:pPr>
      <w:r>
        <w:rPr>
          <w:rFonts w:ascii="Calibri" w:hAnsi="Calibri"/>
          <w:sz w:val="18"/>
        </w:rPr>
        <w:t>12 Deal Killer Diagnostic.html</w:t>
      </w:r>
    </w:p>
    <w:p>
      <w:pPr>
        <w:spacing w:after="30"/>
        <w:ind w:left="115" w:hanging="115"/>
      </w:pPr>
      <w:r>
        <w:rPr>
          <w:rFonts w:ascii="Calibri" w:hAnsi="Calibri"/>
          <w:sz w:val="18"/>
        </w:rPr>
        <w:t>13 Due Diligence Readiness Assessment.html</w:t>
      </w:r>
    </w:p>
    <w:p>
      <w:pPr>
        <w:spacing w:after="30"/>
        <w:ind w:left="115" w:hanging="115"/>
      </w:pPr>
      <w:r>
        <w:rPr>
          <w:rFonts w:ascii="Calibri" w:hAnsi="Calibri"/>
          <w:sz w:val="18"/>
        </w:rPr>
        <w:t>14 Buyer Readiness Assessment.html</w:t>
      </w:r>
    </w:p>
    <w:p>
      <w:pPr>
        <w:spacing w:after="30"/>
        <w:ind w:left="115" w:hanging="115"/>
      </w:pPr>
      <w:r>
        <w:rPr>
          <w:rFonts w:ascii="Calibri" w:hAnsi="Calibri"/>
          <w:sz w:val="18"/>
        </w:rPr>
        <w:t>15 Exit Risk Assessment.html</w:t>
      </w:r>
    </w:p>
    <w:p>
      <w:pPr>
        <w:spacing w:after="30"/>
        <w:ind w:left="115" w:hanging="115"/>
      </w:pPr>
      <w:r>
        <w:rPr>
          <w:rFonts w:ascii="Calibri" w:hAnsi="Calibri"/>
          <w:sz w:val="18"/>
        </w:rPr>
        <w:t>16 Exit Timing Assessment.html</w:t>
      </w:r>
    </w:p>
    <w:p>
      <w:pPr>
        <w:spacing w:after="30"/>
        <w:ind w:left="115" w:hanging="115"/>
      </w:pPr>
      <w:r>
        <w:rPr>
          <w:rFonts w:ascii="Calibri" w:hAnsi="Calibri"/>
          <w:sz w:val="18"/>
        </w:rPr>
        <w:t>17 Founder Exit Readiness Assessment.docx</w:t>
      </w:r>
    </w:p>
    <w:p>
      <w:pPr>
        <w:spacing w:after="30"/>
        <w:ind w:left="115" w:hanging="115"/>
      </w:pPr>
      <w:r>
        <w:rPr>
          <w:rFonts w:ascii="Calibri" w:hAnsi="Calibri"/>
          <w:sz w:val="18"/>
        </w:rPr>
        <w:t>18 Personal Exit Readiness Assessment.html</w:t>
      </w:r>
    </w:p>
    <w:p>
      <w:pPr>
        <w:spacing w:after="30"/>
        <w:ind w:left="115" w:hanging="115"/>
      </w:pPr>
      <w:r>
        <w:rPr>
          <w:rFonts w:ascii="Calibri" w:hAnsi="Calibri"/>
          <w:sz w:val="18"/>
        </w:rPr>
        <w:t>19 Post-Exit Financial Readiness Assessment.html</w:t>
      </w:r>
    </w:p>
    <w:p>
      <w:pPr>
        <w:spacing w:after="30"/>
        <w:ind w:left="115" w:hanging="115"/>
      </w:pPr>
      <w:r>
        <w:rPr>
          <w:rFonts w:ascii="Calibri" w:hAnsi="Calibri"/>
          <w:sz w:val="18"/>
        </w:rPr>
        <w:t>20 Tax Planning Readiness Assessment.html</w:t>
      </w:r>
    </w:p>
    <w:p>
      <w:pPr>
        <w:spacing w:after="30"/>
        <w:ind w:left="115" w:hanging="115"/>
      </w:pPr>
      <w:r>
        <w:rPr>
          <w:rFonts w:ascii="Calibri" w:hAnsi="Calibri"/>
          <w:sz w:val="18"/>
        </w:rPr>
        <w:t>21 Founder Liability &amp; Guarantees Review.docx</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03 VALUATION &amp; EXIT ECONOMICS</w:t>
            </w:r>
          </w:p>
        </w:tc>
      </w:tr>
    </w:tbl>
    <w:p>
      <w:pPr>
        <w:spacing w:after="0"/>
      </w:pPr>
    </w:p>
    <w:p>
      <w:pPr>
        <w:spacing w:after="100"/>
      </w:pPr>
      <w:r>
        <w:t>Normalize financials, understand valuation, model proceeds, compare scenarios, and quantify the value gap.</w:t>
      </w:r>
    </w:p>
    <w:p>
      <w:pPr>
        <w:spacing w:after="30"/>
        <w:ind w:left="115" w:hanging="115"/>
      </w:pPr>
      <w:r>
        <w:rPr>
          <w:rFonts w:ascii="Calibri" w:hAnsi="Calibri"/>
          <w:b/>
          <w:color w:val="203654"/>
          <w:sz w:val="18"/>
        </w:rPr>
        <w:t>00 START HERE — Valuation &amp; Exit Economics.html</w:t>
      </w:r>
    </w:p>
    <w:p>
      <w:pPr>
        <w:spacing w:after="30"/>
        <w:ind w:left="115" w:hanging="115"/>
      </w:pPr>
      <w:r>
        <w:rPr>
          <w:rFonts w:ascii="Calibri" w:hAnsi="Calibri"/>
          <w:sz w:val="18"/>
        </w:rPr>
        <w:t>01 Normalised Financials Package Builder.docx</w:t>
      </w:r>
    </w:p>
    <w:p>
      <w:pPr>
        <w:spacing w:after="30"/>
        <w:ind w:left="115" w:hanging="115"/>
      </w:pPr>
      <w:r>
        <w:rPr>
          <w:rFonts w:ascii="Calibri" w:hAnsi="Calibri"/>
          <w:sz w:val="18"/>
        </w:rPr>
        <w:t>02 EBITDA AddBack Model.docx</w:t>
      </w:r>
    </w:p>
    <w:p>
      <w:pPr>
        <w:spacing w:after="30"/>
        <w:ind w:left="115" w:hanging="115"/>
      </w:pPr>
      <w:r>
        <w:rPr>
          <w:rFonts w:ascii="Calibri" w:hAnsi="Calibri"/>
          <w:sz w:val="18"/>
        </w:rPr>
        <w:t>03 Business Valuation Calculator.docx</w:t>
      </w:r>
    </w:p>
    <w:p>
      <w:pPr>
        <w:spacing w:after="30"/>
        <w:ind w:left="115" w:hanging="115"/>
      </w:pPr>
      <w:r>
        <w:rPr>
          <w:rFonts w:ascii="Calibri" w:hAnsi="Calibri"/>
          <w:sz w:val="18"/>
        </w:rPr>
        <w:t>04 Five Valuation Methods — Side-by-Side Comparison.docx</w:t>
      </w:r>
    </w:p>
    <w:p>
      <w:pPr>
        <w:spacing w:after="30"/>
        <w:ind w:left="115" w:hanging="115"/>
      </w:pPr>
      <w:r>
        <w:rPr>
          <w:rFonts w:ascii="Calibri" w:hAnsi="Calibri"/>
          <w:sz w:val="18"/>
        </w:rPr>
        <w:t>05 Industry EBITDA Multiple Benchmarks.docx</w:t>
      </w:r>
    </w:p>
    <w:p>
      <w:pPr>
        <w:spacing w:after="30"/>
        <w:ind w:left="115" w:hanging="115"/>
      </w:pPr>
      <w:r>
        <w:rPr>
          <w:rFonts w:ascii="Calibri" w:hAnsi="Calibri"/>
          <w:sz w:val="18"/>
        </w:rPr>
        <w:t>06 Value Driver Scorecard — How Buyers Assess Business Quality.docx</w:t>
      </w:r>
    </w:p>
    <w:p>
      <w:pPr>
        <w:spacing w:after="30"/>
        <w:ind w:left="115" w:hanging="115"/>
      </w:pPr>
      <w:r>
        <w:rPr>
          <w:rFonts w:ascii="Calibri" w:hAnsi="Calibri"/>
          <w:sz w:val="18"/>
        </w:rPr>
        <w:t>07 Value Drivers Scorecard.docx</w:t>
      </w:r>
    </w:p>
    <w:p>
      <w:pPr>
        <w:spacing w:after="30"/>
        <w:ind w:left="115" w:hanging="115"/>
      </w:pPr>
      <w:r>
        <w:rPr>
          <w:rFonts w:ascii="Calibri" w:hAnsi="Calibri"/>
          <w:sz w:val="18"/>
        </w:rPr>
        <w:t>08 Revenue Quality Analysis.pdf</w:t>
      </w:r>
    </w:p>
    <w:p>
      <w:pPr>
        <w:spacing w:after="30"/>
        <w:ind w:left="115" w:hanging="115"/>
      </w:pPr>
      <w:r>
        <w:rPr>
          <w:rFonts w:ascii="Calibri" w:hAnsi="Calibri"/>
          <w:sz w:val="18"/>
        </w:rPr>
        <w:t>09 Exit Proceeds Calculator.docx</w:t>
      </w:r>
    </w:p>
    <w:p>
      <w:pPr>
        <w:spacing w:after="30"/>
        <w:ind w:left="115" w:hanging="115"/>
      </w:pPr>
      <w:r>
        <w:rPr>
          <w:rFonts w:ascii="Calibri" w:hAnsi="Calibri"/>
          <w:sz w:val="18"/>
        </w:rPr>
        <w:t>10 The Founder's Proceeds Waterfall — From $10M EV to Net Cash.docx</w:t>
      </w:r>
    </w:p>
    <w:p>
      <w:pPr>
        <w:spacing w:after="30"/>
        <w:ind w:left="115" w:hanging="115"/>
      </w:pPr>
      <w:r>
        <w:rPr>
          <w:rFonts w:ascii="Calibri" w:hAnsi="Calibri"/>
          <w:sz w:val="18"/>
        </w:rPr>
        <w:t>11 Net Proceeds Reality Check — What Founders Actually Keep.docx</w:t>
      </w:r>
    </w:p>
    <w:p>
      <w:pPr>
        <w:spacing w:after="30"/>
        <w:ind w:left="115" w:hanging="115"/>
      </w:pPr>
      <w:r>
        <w:rPr>
          <w:rFonts w:ascii="Calibri" w:hAnsi="Calibri"/>
          <w:sz w:val="18"/>
        </w:rPr>
        <w:t>12 Total Transaction Fees by Deal Size.docx</w:t>
      </w:r>
    </w:p>
    <w:p>
      <w:pPr>
        <w:spacing w:after="30"/>
        <w:ind w:left="115" w:hanging="115"/>
      </w:pPr>
      <w:r>
        <w:rPr>
          <w:rFonts w:ascii="Calibri" w:hAnsi="Calibri"/>
          <w:sz w:val="18"/>
        </w:rPr>
        <w:t>13 Deal Scenario Model.docx</w:t>
      </w:r>
    </w:p>
    <w:p>
      <w:pPr>
        <w:spacing w:after="30"/>
        <w:ind w:left="115" w:hanging="115"/>
      </w:pPr>
      <w:r>
        <w:rPr>
          <w:rFonts w:ascii="Calibri" w:hAnsi="Calibri"/>
          <w:sz w:val="18"/>
        </w:rPr>
        <w:t>14 Value Gap Assessment Tool.docx</w:t>
      </w:r>
    </w:p>
    <w:p>
      <w:pPr>
        <w:spacing w:after="30"/>
        <w:ind w:left="115" w:hanging="115"/>
      </w:pPr>
      <w:r>
        <w:rPr>
          <w:rFonts w:ascii="Calibri" w:hAnsi="Calibri"/>
          <w:sz w:val="18"/>
        </w:rPr>
        <w:t>15 The EBITDA Add-Back Value Bridge.docx</w:t>
      </w:r>
    </w:p>
    <w:p>
      <w:pPr>
        <w:spacing w:after="30"/>
        <w:ind w:left="115" w:hanging="115"/>
      </w:pPr>
      <w:r>
        <w:rPr>
          <w:rFonts w:ascii="Calibri" w:hAnsi="Calibri"/>
          <w:sz w:val="18"/>
        </w:rPr>
        <w:t>16 The Multiplier Effect — Value of Every $100K in EBITDA Add-Backs.docx</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04 EXIT PLANNING &amp; VALUE CREATION</w:t>
            </w:r>
          </w:p>
        </w:tc>
      </w:tr>
    </w:tbl>
    <w:p>
      <w:pPr>
        <w:spacing w:after="0"/>
      </w:pPr>
    </w:p>
    <w:p>
      <w:pPr>
        <w:spacing w:after="100"/>
      </w:pPr>
      <w:r>
        <w:t>Turn exit goals into a 36-month improvement plan with milestones, projects, accountability, and go-to-market readiness.</w:t>
      </w:r>
    </w:p>
    <w:p>
      <w:pPr>
        <w:spacing w:after="30"/>
        <w:ind w:left="115" w:hanging="115"/>
      </w:pPr>
      <w:r>
        <w:rPr>
          <w:rFonts w:ascii="Calibri" w:hAnsi="Calibri"/>
          <w:b/>
          <w:color w:val="203654"/>
          <w:sz w:val="18"/>
        </w:rPr>
        <w:t>00 START HERE — Exit Planning &amp; Value Creation.html</w:t>
      </w:r>
    </w:p>
    <w:p>
      <w:pPr>
        <w:spacing w:after="30"/>
        <w:ind w:left="115" w:hanging="115"/>
      </w:pPr>
      <w:r>
        <w:rPr>
          <w:rFonts w:ascii="Calibri" w:hAnsi="Calibri"/>
          <w:sz w:val="18"/>
        </w:rPr>
        <w:t>01 36-Month Exit Roadmap.html</w:t>
      </w:r>
    </w:p>
    <w:p>
      <w:pPr>
        <w:spacing w:after="30"/>
        <w:ind w:left="115" w:hanging="115"/>
      </w:pPr>
      <w:r>
        <w:rPr>
          <w:rFonts w:ascii="Calibri" w:hAnsi="Calibri"/>
          <w:sz w:val="18"/>
        </w:rPr>
        <w:t>02 Pre Exit Optimization Roadmap.docx</w:t>
      </w:r>
    </w:p>
    <w:p>
      <w:pPr>
        <w:spacing w:after="30"/>
        <w:ind w:left="115" w:hanging="115"/>
      </w:pPr>
      <w:r>
        <w:rPr>
          <w:rFonts w:ascii="Calibri" w:hAnsi="Calibri"/>
          <w:sz w:val="18"/>
        </w:rPr>
        <w:t>03 Exit Roadmap Template.docx</w:t>
      </w:r>
    </w:p>
    <w:p>
      <w:pPr>
        <w:spacing w:after="30"/>
        <w:ind w:left="115" w:hanging="115"/>
      </w:pPr>
      <w:r>
        <w:rPr>
          <w:rFonts w:ascii="Calibri" w:hAnsi="Calibri"/>
          <w:sz w:val="18"/>
        </w:rPr>
        <w:t>04 Exit Timeline Planner.docx</w:t>
      </w:r>
    </w:p>
    <w:p>
      <w:pPr>
        <w:spacing w:after="30"/>
        <w:ind w:left="115" w:hanging="115"/>
      </w:pPr>
      <w:r>
        <w:rPr>
          <w:rFonts w:ascii="Calibri" w:hAnsi="Calibri"/>
          <w:sz w:val="18"/>
        </w:rPr>
        <w:t>05 36-Month Pre-Exit Optimization Timeline.docx</w:t>
      </w:r>
    </w:p>
    <w:p>
      <w:pPr>
        <w:spacing w:after="30"/>
        <w:ind w:left="115" w:hanging="115"/>
      </w:pPr>
      <w:r>
        <w:rPr>
          <w:rFonts w:ascii="Calibri" w:hAnsi="Calibri"/>
          <w:sz w:val="18"/>
        </w:rPr>
        <w:t>06 Exit Optimization Action Register.html</w:t>
      </w:r>
    </w:p>
    <w:p>
      <w:pPr>
        <w:spacing w:after="30"/>
        <w:ind w:left="115" w:hanging="115"/>
      </w:pPr>
      <w:r>
        <w:rPr>
          <w:rFonts w:ascii="Calibri" w:hAnsi="Calibri"/>
          <w:sz w:val="18"/>
        </w:rPr>
        <w:t>07 Value Creation Project Tracker.html</w:t>
      </w:r>
    </w:p>
    <w:p>
      <w:pPr>
        <w:spacing w:after="30"/>
        <w:ind w:left="115" w:hanging="115"/>
      </w:pPr>
      <w:r>
        <w:rPr>
          <w:rFonts w:ascii="Calibri" w:hAnsi="Calibri"/>
          <w:sz w:val="18"/>
        </w:rPr>
        <w:t>08 Founder Dependency Reduction Tracker.html</w:t>
      </w:r>
    </w:p>
    <w:p>
      <w:pPr>
        <w:spacing w:after="30"/>
        <w:ind w:left="115" w:hanging="115"/>
      </w:pPr>
      <w:r>
        <w:rPr>
          <w:rFonts w:ascii="Calibri" w:hAnsi="Calibri"/>
          <w:sz w:val="18"/>
        </w:rPr>
        <w:t>09 Financial Cleanup Tracker.html</w:t>
      </w:r>
    </w:p>
    <w:p>
      <w:pPr>
        <w:spacing w:after="30"/>
        <w:ind w:left="115" w:hanging="115"/>
      </w:pPr>
      <w:r>
        <w:rPr>
          <w:rFonts w:ascii="Calibri" w:hAnsi="Calibri"/>
          <w:sz w:val="18"/>
        </w:rPr>
        <w:t>10 Exit Milestone Tracker.html</w:t>
      </w:r>
    </w:p>
    <w:p>
      <w:pPr>
        <w:spacing w:after="30"/>
        <w:ind w:left="115" w:hanging="115"/>
      </w:pPr>
      <w:r>
        <w:rPr>
          <w:rFonts w:ascii="Calibri" w:hAnsi="Calibri"/>
          <w:sz w:val="18"/>
        </w:rPr>
        <w:t>11 Exit Initiative Tracker.html</w:t>
      </w:r>
    </w:p>
    <w:p>
      <w:pPr>
        <w:spacing w:after="30"/>
        <w:ind w:left="115" w:hanging="115"/>
      </w:pPr>
      <w:r>
        <w:rPr>
          <w:rFonts w:ascii="Calibri" w:hAnsi="Calibri"/>
          <w:sz w:val="18"/>
        </w:rPr>
        <w:t>12 Advisor Engagement Tracker.html</w:t>
      </w:r>
    </w:p>
    <w:p>
      <w:pPr>
        <w:spacing w:after="30"/>
        <w:ind w:left="115" w:hanging="115"/>
      </w:pPr>
      <w:r>
        <w:rPr>
          <w:rFonts w:ascii="Calibri" w:hAnsi="Calibri"/>
          <w:sz w:val="18"/>
        </w:rPr>
        <w:t>13 Business Continuity Plan.docx</w:t>
      </w:r>
    </w:p>
    <w:p>
      <w:pPr>
        <w:spacing w:after="30"/>
        <w:ind w:left="115" w:hanging="115"/>
      </w:pPr>
      <w:r>
        <w:rPr>
          <w:rFonts w:ascii="Calibri" w:hAnsi="Calibri"/>
          <w:sz w:val="18"/>
        </w:rPr>
        <w:t>14 Go-to-Market Readiness Assessment.html</w:t>
      </w:r>
    </w:p>
    <w:p>
      <w:pPr>
        <w:spacing w:after="30"/>
        <w:ind w:left="115" w:hanging="115"/>
      </w:pPr>
      <w:r>
        <w:rPr>
          <w:rFonts w:ascii="Calibri" w:hAnsi="Calibri"/>
          <w:sz w:val="18"/>
        </w:rPr>
        <w:t>15 Realistic Exit Timeline.pdf</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05 VALUE MAXIMIZATION OPERATING SYSTEM</w:t>
            </w:r>
          </w:p>
        </w:tc>
      </w:tr>
    </w:tbl>
    <w:p>
      <w:pPr>
        <w:spacing w:after="0"/>
      </w:pPr>
    </w:p>
    <w:p>
      <w:pPr>
        <w:spacing w:after="100"/>
      </w:pPr>
      <w:r>
        <w:t>Operate value creation as a management system with command centers, KPIs, governance, reviews, and early warnings.</w:t>
      </w:r>
    </w:p>
    <w:p>
      <w:pPr>
        <w:spacing w:after="30"/>
        <w:ind w:left="115" w:hanging="115"/>
      </w:pPr>
      <w:r>
        <w:rPr>
          <w:rFonts w:ascii="Calibri" w:hAnsi="Calibri"/>
          <w:b/>
          <w:color w:val="203654"/>
          <w:sz w:val="18"/>
        </w:rPr>
        <w:t>00 START HERE — Value Maximization Operating System.html</w:t>
      </w:r>
    </w:p>
    <w:p>
      <w:pPr>
        <w:spacing w:after="30"/>
        <w:ind w:left="115" w:hanging="115"/>
      </w:pPr>
      <w:r>
        <w:rPr>
          <w:rFonts w:ascii="Calibri" w:hAnsi="Calibri"/>
          <w:sz w:val="18"/>
        </w:rPr>
        <w:t>01 Value Maximization Operating Manual.docx</w:t>
      </w:r>
    </w:p>
    <w:p>
      <w:pPr>
        <w:spacing w:after="30"/>
        <w:ind w:left="115" w:hanging="115"/>
      </w:pPr>
      <w:r>
        <w:rPr>
          <w:rFonts w:ascii="Calibri" w:hAnsi="Calibri"/>
          <w:sz w:val="18"/>
        </w:rPr>
        <w:t>02 Value Maximization Command Center.html</w:t>
      </w:r>
    </w:p>
    <w:p>
      <w:pPr>
        <w:spacing w:after="30"/>
        <w:ind w:left="115" w:hanging="115"/>
      </w:pPr>
      <w:r>
        <w:rPr>
          <w:rFonts w:ascii="Calibri" w:hAnsi="Calibri"/>
          <w:sz w:val="18"/>
        </w:rPr>
        <w:t>03 Exit Readiness Value Creation Dashboard.html</w:t>
      </w:r>
    </w:p>
    <w:p>
      <w:pPr>
        <w:spacing w:after="30"/>
        <w:ind w:left="115" w:hanging="115"/>
      </w:pPr>
      <w:r>
        <w:rPr>
          <w:rFonts w:ascii="Calibri" w:hAnsi="Calibri"/>
          <w:sz w:val="18"/>
        </w:rPr>
        <w:t>04 Value Driver Improvement Plan.docx</w:t>
      </w:r>
    </w:p>
    <w:p>
      <w:pPr>
        <w:spacing w:after="30"/>
        <w:ind w:left="115" w:hanging="115"/>
      </w:pPr>
      <w:r>
        <w:rPr>
          <w:rFonts w:ascii="Calibri" w:hAnsi="Calibri"/>
          <w:sz w:val="18"/>
        </w:rPr>
        <w:t>05 Value Maximization KPI Scorecard.html</w:t>
      </w:r>
    </w:p>
    <w:p>
      <w:pPr>
        <w:spacing w:after="30"/>
        <w:ind w:left="115" w:hanging="115"/>
      </w:pPr>
      <w:r>
        <w:rPr>
          <w:rFonts w:ascii="Calibri" w:hAnsi="Calibri"/>
          <w:sz w:val="18"/>
        </w:rPr>
        <w:t>06 Enterprise Value Improvement Dashboard.html</w:t>
      </w:r>
    </w:p>
    <w:p>
      <w:pPr>
        <w:spacing w:after="30"/>
        <w:ind w:left="115" w:hanging="115"/>
      </w:pPr>
      <w:r>
        <w:rPr>
          <w:rFonts w:ascii="Calibri" w:hAnsi="Calibri"/>
          <w:sz w:val="18"/>
        </w:rPr>
        <w:t>07 Exit Value Early Warning Monitor.html</w:t>
      </w:r>
    </w:p>
    <w:p>
      <w:pPr>
        <w:spacing w:after="30"/>
        <w:ind w:left="115" w:hanging="115"/>
      </w:pPr>
      <w:r>
        <w:rPr>
          <w:rFonts w:ascii="Calibri" w:hAnsi="Calibri"/>
          <w:sz w:val="18"/>
        </w:rPr>
        <w:t>08 Monthly Value Creation Review.html</w:t>
      </w:r>
    </w:p>
    <w:p>
      <w:pPr>
        <w:spacing w:after="30"/>
        <w:ind w:left="115" w:hanging="115"/>
      </w:pPr>
      <w:r>
        <w:rPr>
          <w:rFonts w:ascii="Calibri" w:hAnsi="Calibri"/>
          <w:sz w:val="18"/>
        </w:rPr>
        <w:t>09 Quarterly Value Maximization Review.docx</w:t>
      </w:r>
    </w:p>
    <w:p>
      <w:pPr>
        <w:spacing w:after="30"/>
        <w:ind w:left="115" w:hanging="115"/>
      </w:pPr>
      <w:r>
        <w:rPr>
          <w:rFonts w:ascii="Calibri" w:hAnsi="Calibri"/>
          <w:sz w:val="18"/>
        </w:rPr>
        <w:t>10 Value Maximization Governance and Accountability Matrix.docx</w:t>
      </w:r>
    </w:p>
    <w:p>
      <w:pPr>
        <w:spacing w:after="30"/>
        <w:ind w:left="115" w:hanging="115"/>
      </w:pPr>
      <w:r>
        <w:rPr>
          <w:rFonts w:ascii="Calibri" w:hAnsi="Calibri"/>
          <w:sz w:val="18"/>
        </w:rPr>
        <w:t>11 Management Transition Tracker.html</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06 EXIT CALCULATOR SUITE</w:t>
            </w:r>
          </w:p>
        </w:tc>
      </w:tr>
    </w:tbl>
    <w:p>
      <w:pPr>
        <w:spacing w:after="0"/>
      </w:pPr>
    </w:p>
    <w:p>
      <w:pPr>
        <w:spacing w:after="100"/>
      </w:pPr>
      <w:r>
        <w:t>Model valuation, proceeds, taxes, deal structures, risk, concentration, earnouts, financing, working capital, and costs.</w:t>
      </w:r>
    </w:p>
    <w:p>
      <w:pPr>
        <w:spacing w:after="30"/>
        <w:ind w:left="115" w:hanging="115"/>
      </w:pPr>
      <w:r>
        <w:rPr>
          <w:rFonts w:ascii="Calibri" w:hAnsi="Calibri"/>
          <w:b/>
          <w:color w:val="203654"/>
          <w:sz w:val="18"/>
        </w:rPr>
        <w:t>00 START HERE — Exit Calculator Suite.html</w:t>
      </w:r>
    </w:p>
    <w:p>
      <w:pPr>
        <w:spacing w:after="30"/>
        <w:ind w:left="115" w:hanging="115"/>
      </w:pPr>
      <w:r>
        <w:rPr>
          <w:rFonts w:ascii="Calibri" w:hAnsi="Calibri"/>
          <w:sz w:val="18"/>
        </w:rPr>
        <w:t>01 Exit Economics Dashboard.html</w:t>
      </w:r>
    </w:p>
    <w:p>
      <w:pPr>
        <w:spacing w:after="30"/>
        <w:ind w:left="115" w:hanging="115"/>
      </w:pPr>
      <w:r>
        <w:rPr>
          <w:rFonts w:ascii="Calibri" w:hAnsi="Calibri"/>
          <w:sz w:val="18"/>
        </w:rPr>
        <w:t>02 Business Valuation Calculator.html</w:t>
      </w:r>
    </w:p>
    <w:p>
      <w:pPr>
        <w:spacing w:after="30"/>
        <w:ind w:left="115" w:hanging="115"/>
      </w:pPr>
      <w:r>
        <w:rPr>
          <w:rFonts w:ascii="Calibri" w:hAnsi="Calibri"/>
          <w:sz w:val="18"/>
        </w:rPr>
        <w:t>03 EBITDA Normalization Calculator.html</w:t>
      </w:r>
    </w:p>
    <w:p>
      <w:pPr>
        <w:spacing w:after="30"/>
        <w:ind w:left="115" w:hanging="115"/>
      </w:pPr>
      <w:r>
        <w:rPr>
          <w:rFonts w:ascii="Calibri" w:hAnsi="Calibri"/>
          <w:sz w:val="18"/>
        </w:rPr>
        <w:t>04 EBITDA Add-Back Calculator.html</w:t>
      </w:r>
    </w:p>
    <w:p>
      <w:pPr>
        <w:spacing w:after="30"/>
        <w:ind w:left="115" w:hanging="115"/>
      </w:pPr>
      <w:r>
        <w:rPr>
          <w:rFonts w:ascii="Calibri" w:hAnsi="Calibri"/>
          <w:sz w:val="18"/>
        </w:rPr>
        <w:t>05 Valuation Multiple Scenario Calculator.html</w:t>
      </w:r>
    </w:p>
    <w:p>
      <w:pPr>
        <w:spacing w:after="30"/>
        <w:ind w:left="115" w:hanging="115"/>
      </w:pPr>
      <w:r>
        <w:rPr>
          <w:rFonts w:ascii="Calibri" w:hAnsi="Calibri"/>
          <w:sz w:val="18"/>
        </w:rPr>
        <w:t>06 Exit Proceeds Calculator.html</w:t>
      </w:r>
    </w:p>
    <w:p>
      <w:pPr>
        <w:spacing w:after="30"/>
        <w:ind w:left="115" w:hanging="115"/>
      </w:pPr>
      <w:r>
        <w:rPr>
          <w:rFonts w:ascii="Calibri" w:hAnsi="Calibri"/>
          <w:sz w:val="18"/>
        </w:rPr>
        <w:t>07 After-Tax Proceeds Calculator.html</w:t>
      </w:r>
    </w:p>
    <w:p>
      <w:pPr>
        <w:spacing w:after="30"/>
        <w:ind w:left="115" w:hanging="115"/>
      </w:pPr>
      <w:r>
        <w:rPr>
          <w:rFonts w:ascii="Calibri" w:hAnsi="Calibri"/>
          <w:sz w:val="18"/>
        </w:rPr>
        <w:t>08 Minimum Acceptable Exit Price Calculator.html</w:t>
      </w:r>
    </w:p>
    <w:p>
      <w:pPr>
        <w:spacing w:after="30"/>
        <w:ind w:left="115" w:hanging="115"/>
      </w:pPr>
      <w:r>
        <w:rPr>
          <w:rFonts w:ascii="Calibri" w:hAnsi="Calibri"/>
          <w:sz w:val="18"/>
        </w:rPr>
        <w:t>09 Risk-Adjusted Deal Value Calculator.html</w:t>
      </w:r>
    </w:p>
    <w:p>
      <w:pPr>
        <w:spacing w:after="30"/>
        <w:ind w:left="115" w:hanging="115"/>
      </w:pPr>
      <w:r>
        <w:rPr>
          <w:rFonts w:ascii="Calibri" w:hAnsi="Calibri"/>
          <w:sz w:val="18"/>
        </w:rPr>
        <w:t>10 Deal Scenario Comparison Calculator.html</w:t>
      </w:r>
    </w:p>
    <w:p>
      <w:pPr>
        <w:spacing w:after="30"/>
        <w:ind w:left="115" w:hanging="115"/>
      </w:pPr>
      <w:r>
        <w:rPr>
          <w:rFonts w:ascii="Calibri" w:hAnsi="Calibri"/>
          <w:sz w:val="18"/>
        </w:rPr>
        <w:t>11 Value Gap Calculator.html</w:t>
      </w:r>
    </w:p>
    <w:p>
      <w:pPr>
        <w:spacing w:after="30"/>
        <w:ind w:left="115" w:hanging="115"/>
      </w:pPr>
      <w:r>
        <w:rPr>
          <w:rFonts w:ascii="Calibri" w:hAnsi="Calibri"/>
          <w:sz w:val="18"/>
        </w:rPr>
        <w:t>12 Founder Dependency Value Impact Calculator.html</w:t>
      </w:r>
    </w:p>
    <w:p>
      <w:pPr>
        <w:spacing w:after="30"/>
        <w:ind w:left="115" w:hanging="115"/>
      </w:pPr>
      <w:r>
        <w:rPr>
          <w:rFonts w:ascii="Calibri" w:hAnsi="Calibri"/>
          <w:sz w:val="18"/>
        </w:rPr>
        <w:t>13 Customer Concentration Value Risk Calculator.html</w:t>
      </w:r>
    </w:p>
    <w:p>
      <w:pPr>
        <w:spacing w:after="30"/>
        <w:ind w:left="115" w:hanging="115"/>
      </w:pPr>
      <w:r>
        <w:rPr>
          <w:rFonts w:ascii="Calibri" w:hAnsi="Calibri"/>
          <w:sz w:val="18"/>
        </w:rPr>
        <w:t>14 Earnout Calculator.html</w:t>
      </w:r>
    </w:p>
    <w:p>
      <w:pPr>
        <w:spacing w:after="30"/>
        <w:ind w:left="115" w:hanging="115"/>
      </w:pPr>
      <w:r>
        <w:rPr>
          <w:rFonts w:ascii="Calibri" w:hAnsi="Calibri"/>
          <w:sz w:val="18"/>
        </w:rPr>
        <w:t>15 Equity Rollover Calculator.html</w:t>
      </w:r>
    </w:p>
    <w:p>
      <w:pPr>
        <w:spacing w:after="30"/>
        <w:ind w:left="115" w:hanging="115"/>
      </w:pPr>
      <w:r>
        <w:rPr>
          <w:rFonts w:ascii="Calibri" w:hAnsi="Calibri"/>
          <w:sz w:val="18"/>
        </w:rPr>
        <w:t>16 Seller Financing Calculator.html</w:t>
      </w:r>
    </w:p>
    <w:p>
      <w:pPr>
        <w:spacing w:after="30"/>
        <w:ind w:left="115" w:hanging="115"/>
      </w:pPr>
      <w:r>
        <w:rPr>
          <w:rFonts w:ascii="Calibri" w:hAnsi="Calibri"/>
          <w:sz w:val="18"/>
        </w:rPr>
        <w:t>17 Working Capital Adjustment Calculator.html</w:t>
      </w:r>
    </w:p>
    <w:p>
      <w:pPr>
        <w:spacing w:after="30"/>
        <w:ind w:left="115" w:hanging="115"/>
      </w:pPr>
      <w:r>
        <w:rPr>
          <w:rFonts w:ascii="Calibri" w:hAnsi="Calibri"/>
          <w:sz w:val="18"/>
        </w:rPr>
        <w:t>18 Transaction Cost Calculator.html</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07 AI EXIT INTELLIGENCE</w:t>
            </w:r>
          </w:p>
        </w:tc>
      </w:tr>
    </w:tbl>
    <w:p>
      <w:pPr>
        <w:spacing w:after="0"/>
      </w:pPr>
    </w:p>
    <w:p>
      <w:pPr>
        <w:spacing w:after="100"/>
      </w:pPr>
      <w:r>
        <w:t>Use AI-assisted analysis and prompt-driven decision support across readiness, valuation, buyers, diligence, LOIs, negotiation, and transition.</w:t>
      </w:r>
    </w:p>
    <w:p>
      <w:pPr>
        <w:spacing w:after="30"/>
        <w:ind w:left="115" w:hanging="115"/>
      </w:pPr>
      <w:r>
        <w:rPr>
          <w:rFonts w:ascii="Calibri" w:hAnsi="Calibri"/>
          <w:b/>
          <w:color w:val="203654"/>
          <w:sz w:val="18"/>
        </w:rPr>
        <w:t>00 START HERE — Ai Exit Intelligence.html</w:t>
      </w:r>
    </w:p>
    <w:p>
      <w:pPr>
        <w:spacing w:after="30"/>
        <w:ind w:left="115" w:hanging="115"/>
      </w:pPr>
      <w:r>
        <w:rPr>
          <w:rFonts w:ascii="Calibri" w:hAnsi="Calibri"/>
          <w:sz w:val="18"/>
        </w:rPr>
        <w:t>01 AI Exit Decision Engine.html</w:t>
      </w:r>
    </w:p>
    <w:p>
      <w:pPr>
        <w:spacing w:after="30"/>
        <w:ind w:left="115" w:hanging="115"/>
      </w:pPr>
      <w:r>
        <w:rPr>
          <w:rFonts w:ascii="Calibri" w:hAnsi="Calibri"/>
          <w:sz w:val="18"/>
        </w:rPr>
        <w:t>02 AI Exit Readiness Analyzer.html</w:t>
      </w:r>
    </w:p>
    <w:p>
      <w:pPr>
        <w:spacing w:after="30"/>
        <w:ind w:left="115" w:hanging="115"/>
      </w:pPr>
      <w:r>
        <w:rPr>
          <w:rFonts w:ascii="Calibri" w:hAnsi="Calibri"/>
          <w:sz w:val="18"/>
        </w:rPr>
        <w:t>03 AI Value Maximization Advisor.html</w:t>
      </w:r>
    </w:p>
    <w:p>
      <w:pPr>
        <w:spacing w:after="30"/>
        <w:ind w:left="115" w:hanging="115"/>
      </w:pPr>
      <w:r>
        <w:rPr>
          <w:rFonts w:ascii="Calibri" w:hAnsi="Calibri"/>
          <w:sz w:val="18"/>
        </w:rPr>
        <w:t>04 AI 36-Month Exit Plan Generator.html</w:t>
      </w:r>
    </w:p>
    <w:p>
      <w:pPr>
        <w:spacing w:after="30"/>
        <w:ind w:left="115" w:hanging="115"/>
      </w:pPr>
      <w:r>
        <w:rPr>
          <w:rFonts w:ascii="Calibri" w:hAnsi="Calibri"/>
          <w:sz w:val="18"/>
        </w:rPr>
        <w:t>05 AI Executive Exit Brief Generator.html</w:t>
      </w:r>
    </w:p>
    <w:p>
      <w:pPr>
        <w:spacing w:after="30"/>
        <w:ind w:left="115" w:hanging="115"/>
      </w:pPr>
      <w:r>
        <w:rPr>
          <w:rFonts w:ascii="Calibri" w:hAnsi="Calibri"/>
          <w:sz w:val="18"/>
        </w:rPr>
        <w:t>06 AI Deal Risk Register Generator.html</w:t>
      </w:r>
    </w:p>
    <w:p>
      <w:pPr>
        <w:spacing w:after="30"/>
        <w:ind w:left="115" w:hanging="115"/>
      </w:pPr>
      <w:r>
        <w:rPr>
          <w:rFonts w:ascii="Calibri" w:hAnsi="Calibri"/>
          <w:sz w:val="18"/>
        </w:rPr>
        <w:t>07 AI Business Valuation Analysis Assistant.html</w:t>
      </w:r>
    </w:p>
    <w:p>
      <w:pPr>
        <w:spacing w:after="30"/>
        <w:ind w:left="115" w:hanging="115"/>
      </w:pPr>
      <w:r>
        <w:rPr>
          <w:rFonts w:ascii="Calibri" w:hAnsi="Calibri"/>
          <w:sz w:val="18"/>
        </w:rPr>
        <w:t>08 AI EBITDA Add-Back Analyzer.html</w:t>
      </w:r>
    </w:p>
    <w:p>
      <w:pPr>
        <w:spacing w:after="30"/>
        <w:ind w:left="115" w:hanging="115"/>
      </w:pPr>
      <w:r>
        <w:rPr>
          <w:rFonts w:ascii="Calibri" w:hAnsi="Calibri"/>
          <w:sz w:val="18"/>
        </w:rPr>
        <w:t>09 AI Founder Dependency Analyzer.html</w:t>
      </w:r>
    </w:p>
    <w:p>
      <w:pPr>
        <w:spacing w:after="30"/>
        <w:ind w:left="115" w:hanging="115"/>
      </w:pPr>
      <w:r>
        <w:rPr>
          <w:rFonts w:ascii="Calibri" w:hAnsi="Calibri"/>
          <w:sz w:val="18"/>
        </w:rPr>
        <w:t>10 AI Buyer Profile Generator.html</w:t>
      </w:r>
    </w:p>
    <w:p>
      <w:pPr>
        <w:spacing w:after="30"/>
        <w:ind w:left="115" w:hanging="115"/>
      </w:pPr>
      <w:r>
        <w:rPr>
          <w:rFonts w:ascii="Calibri" w:hAnsi="Calibri"/>
          <w:sz w:val="18"/>
        </w:rPr>
        <w:t>11 AI Buyer Question Generator.html</w:t>
      </w:r>
    </w:p>
    <w:p>
      <w:pPr>
        <w:spacing w:after="30"/>
        <w:ind w:left="115" w:hanging="115"/>
      </w:pPr>
      <w:r>
        <w:rPr>
          <w:rFonts w:ascii="Calibri" w:hAnsi="Calibri"/>
          <w:sz w:val="18"/>
        </w:rPr>
        <w:t>12 AI CIM Drafting Assistant.html</w:t>
      </w:r>
    </w:p>
    <w:p>
      <w:pPr>
        <w:spacing w:after="30"/>
        <w:ind w:left="115" w:hanging="115"/>
      </w:pPr>
      <w:r>
        <w:rPr>
          <w:rFonts w:ascii="Calibri" w:hAnsi="Calibri"/>
          <w:sz w:val="18"/>
        </w:rPr>
        <w:t>13 AI Due Diligence Prep Assistant.html</w:t>
      </w:r>
    </w:p>
    <w:p>
      <w:pPr>
        <w:spacing w:after="30"/>
        <w:ind w:left="115" w:hanging="115"/>
      </w:pPr>
      <w:r>
        <w:rPr>
          <w:rFonts w:ascii="Calibri" w:hAnsi="Calibri"/>
          <w:sz w:val="18"/>
        </w:rPr>
        <w:t>14 AI LOI Analyzer.html</w:t>
      </w:r>
    </w:p>
    <w:p>
      <w:pPr>
        <w:spacing w:after="30"/>
        <w:ind w:left="115" w:hanging="115"/>
      </w:pPr>
      <w:r>
        <w:rPr>
          <w:rFonts w:ascii="Calibri" w:hAnsi="Calibri"/>
          <w:sz w:val="18"/>
        </w:rPr>
        <w:t>15 AI Deal Comparison Assistant.html</w:t>
      </w:r>
    </w:p>
    <w:p>
      <w:pPr>
        <w:spacing w:after="30"/>
        <w:ind w:left="115" w:hanging="115"/>
      </w:pPr>
      <w:r>
        <w:rPr>
          <w:rFonts w:ascii="Calibri" w:hAnsi="Calibri"/>
          <w:sz w:val="18"/>
        </w:rPr>
        <w:t>16 AI Negotiation Strategy Generator.html</w:t>
      </w:r>
    </w:p>
    <w:p>
      <w:pPr>
        <w:spacing w:after="30"/>
        <w:ind w:left="115" w:hanging="115"/>
      </w:pPr>
      <w:r>
        <w:rPr>
          <w:rFonts w:ascii="Calibri" w:hAnsi="Calibri"/>
          <w:sz w:val="18"/>
        </w:rPr>
        <w:t>17 AI Earnout Risk Analyzer.html</w:t>
      </w:r>
    </w:p>
    <w:p>
      <w:pPr>
        <w:spacing w:after="30"/>
        <w:ind w:left="115" w:hanging="115"/>
      </w:pPr>
      <w:r>
        <w:rPr>
          <w:rFonts w:ascii="Calibri" w:hAnsi="Calibri"/>
          <w:sz w:val="18"/>
        </w:rPr>
        <w:t>18 AI Deal Killer Analyzer.html</w:t>
      </w:r>
    </w:p>
    <w:p>
      <w:pPr>
        <w:spacing w:after="30"/>
        <w:ind w:left="115" w:hanging="115"/>
      </w:pPr>
      <w:r>
        <w:rPr>
          <w:rFonts w:ascii="Calibri" w:hAnsi="Calibri"/>
          <w:sz w:val="18"/>
        </w:rPr>
        <w:t>19 AI Post-Exit Transition Planner.html</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08 EXIT PREPARATION &amp; TRANSACTION READINESS</w:t>
            </w:r>
          </w:p>
        </w:tc>
      </w:tr>
    </w:tbl>
    <w:p>
      <w:pPr>
        <w:spacing w:after="0"/>
      </w:pPr>
    </w:p>
    <w:p>
      <w:pPr>
        <w:spacing w:after="100"/>
      </w:pPr>
      <w:r>
        <w:t>Prepare the company, deal team, financial information, data room, buyer materials, management presentation, and legal checklist.</w:t>
      </w:r>
    </w:p>
    <w:p>
      <w:pPr>
        <w:spacing w:after="30"/>
        <w:ind w:left="115" w:hanging="115"/>
      </w:pPr>
      <w:r>
        <w:rPr>
          <w:rFonts w:ascii="Calibri" w:hAnsi="Calibri"/>
          <w:b/>
          <w:color w:val="203654"/>
          <w:sz w:val="18"/>
        </w:rPr>
        <w:t>00 START HERE — Exit Preparation &amp; Transaction Readiness.html</w:t>
      </w:r>
    </w:p>
    <w:p>
      <w:pPr>
        <w:spacing w:after="30"/>
        <w:ind w:left="115" w:hanging="115"/>
      </w:pPr>
      <w:r>
        <w:rPr>
          <w:rFonts w:ascii="Calibri" w:hAnsi="Calibri"/>
          <w:sz w:val="18"/>
        </w:rPr>
        <w:t>01 Transaction Readiness Dashboard.html</w:t>
      </w:r>
    </w:p>
    <w:p>
      <w:pPr>
        <w:spacing w:after="30"/>
        <w:ind w:left="115" w:hanging="115"/>
      </w:pPr>
      <w:r>
        <w:rPr>
          <w:rFonts w:ascii="Calibri" w:hAnsi="Calibri"/>
          <w:sz w:val="18"/>
        </w:rPr>
        <w:t>02 Stage &amp; Gate Tracker.html</w:t>
      </w:r>
    </w:p>
    <w:p>
      <w:pPr>
        <w:spacing w:after="30"/>
        <w:ind w:left="115" w:hanging="115"/>
      </w:pPr>
      <w:r>
        <w:rPr>
          <w:rFonts w:ascii="Calibri" w:hAnsi="Calibri"/>
          <w:sz w:val="18"/>
        </w:rPr>
        <w:t>03 Stage &amp; Gate Preparation Checklist.docx</w:t>
      </w:r>
    </w:p>
    <w:p>
      <w:pPr>
        <w:spacing w:after="30"/>
        <w:ind w:left="115" w:hanging="115"/>
      </w:pPr>
      <w:r>
        <w:rPr>
          <w:rFonts w:ascii="Calibri" w:hAnsi="Calibri"/>
          <w:sz w:val="18"/>
        </w:rPr>
        <w:t>04 Advisor Selection Framework.docx</w:t>
      </w:r>
    </w:p>
    <w:p>
      <w:pPr>
        <w:spacing w:after="30"/>
        <w:ind w:left="115" w:hanging="115"/>
      </w:pPr>
      <w:r>
        <w:rPr>
          <w:rFonts w:ascii="Calibri" w:hAnsi="Calibri"/>
          <w:sz w:val="18"/>
        </w:rPr>
        <w:t>05 Deal Team Roles Matrix.docx</w:t>
      </w:r>
    </w:p>
    <w:p>
      <w:pPr>
        <w:spacing w:after="30"/>
        <w:ind w:left="115" w:hanging="115"/>
      </w:pPr>
      <w:r>
        <w:rPr>
          <w:rFonts w:ascii="Calibri" w:hAnsi="Calibri"/>
          <w:sz w:val="18"/>
        </w:rPr>
        <w:t>06 QoE Prep Checklist.docx</w:t>
      </w:r>
    </w:p>
    <w:p>
      <w:pPr>
        <w:spacing w:after="30"/>
        <w:ind w:left="115" w:hanging="115"/>
      </w:pPr>
      <w:r>
        <w:rPr>
          <w:rFonts w:ascii="Calibri" w:hAnsi="Calibri"/>
          <w:sz w:val="18"/>
        </w:rPr>
        <w:t>07 Seller Due Diligence Review.docx</w:t>
      </w:r>
    </w:p>
    <w:p>
      <w:pPr>
        <w:spacing w:after="30"/>
        <w:ind w:left="115" w:hanging="115"/>
      </w:pPr>
      <w:r>
        <w:rPr>
          <w:rFonts w:ascii="Calibri" w:hAnsi="Calibri"/>
          <w:sz w:val="18"/>
        </w:rPr>
        <w:t>08 Data Room Readiness Checklist.docx</w:t>
      </w:r>
    </w:p>
    <w:p>
      <w:pPr>
        <w:spacing w:after="30"/>
        <w:ind w:left="115" w:hanging="115"/>
      </w:pPr>
      <w:r>
        <w:rPr>
          <w:rFonts w:ascii="Calibri" w:hAnsi="Calibri"/>
          <w:sz w:val="18"/>
        </w:rPr>
        <w:t>09 Due Diligence Preparation Tracker.html</w:t>
      </w:r>
    </w:p>
    <w:p>
      <w:pPr>
        <w:spacing w:after="30"/>
        <w:ind w:left="115" w:hanging="115"/>
      </w:pPr>
      <w:r>
        <w:rPr>
          <w:rFonts w:ascii="Calibri" w:hAnsi="Calibri"/>
          <w:sz w:val="18"/>
        </w:rPr>
        <w:t>10 Buyer Teaser Template.docx</w:t>
      </w:r>
    </w:p>
    <w:p>
      <w:pPr>
        <w:spacing w:after="30"/>
        <w:ind w:left="115" w:hanging="115"/>
      </w:pPr>
      <w:r>
        <w:rPr>
          <w:rFonts w:ascii="Calibri" w:hAnsi="Calibri"/>
          <w:sz w:val="18"/>
        </w:rPr>
        <w:t>11 CIM Template.docx</w:t>
      </w:r>
    </w:p>
    <w:p>
      <w:pPr>
        <w:spacing w:after="30"/>
        <w:ind w:left="115" w:hanging="115"/>
      </w:pPr>
      <w:r>
        <w:rPr>
          <w:rFonts w:ascii="Calibri" w:hAnsi="Calibri"/>
          <w:sz w:val="18"/>
        </w:rPr>
        <w:t>12 Management Presentation Builder.docx</w:t>
      </w:r>
    </w:p>
    <w:p>
      <w:pPr>
        <w:spacing w:after="30"/>
        <w:ind w:left="115" w:hanging="115"/>
      </w:pPr>
      <w:r>
        <w:rPr>
          <w:rFonts w:ascii="Calibri" w:hAnsi="Calibri"/>
          <w:sz w:val="18"/>
        </w:rPr>
        <w:t>13 Buyer Q&amp;A Preparation Workbook.docx</w:t>
      </w:r>
    </w:p>
    <w:p>
      <w:pPr>
        <w:spacing w:after="30"/>
        <w:ind w:left="115" w:hanging="115"/>
      </w:pPr>
      <w:r>
        <w:rPr>
          <w:rFonts w:ascii="Calibri" w:hAnsi="Calibri"/>
          <w:sz w:val="18"/>
        </w:rPr>
        <w:t>14 Buyer Preparation Tracker.html</w:t>
      </w:r>
    </w:p>
    <w:p>
      <w:pPr>
        <w:spacing w:after="30"/>
        <w:ind w:left="115" w:hanging="115"/>
      </w:pPr>
      <w:r>
        <w:rPr>
          <w:rFonts w:ascii="Calibri" w:hAnsi="Calibri"/>
          <w:sz w:val="18"/>
        </w:rPr>
        <w:t>15 Legal Document Checklist.docx</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09 BUYER STRATEGY &amp; QUALIFICATION</w:t>
            </w:r>
          </w:p>
        </w:tc>
      </w:tr>
    </w:tbl>
    <w:p>
      <w:pPr>
        <w:spacing w:after="0"/>
      </w:pPr>
    </w:p>
    <w:p>
      <w:pPr>
        <w:spacing w:after="100"/>
      </w:pPr>
      <w:r>
        <w:t>Build and qualify the buyer universe, rank prospects, assess capacity and certainty, and control buyer outreach and confidentiality.</w:t>
      </w:r>
    </w:p>
    <w:p>
      <w:pPr>
        <w:spacing w:after="30"/>
        <w:ind w:left="115" w:hanging="115"/>
      </w:pPr>
      <w:r>
        <w:rPr>
          <w:rFonts w:ascii="Calibri" w:hAnsi="Calibri"/>
          <w:b/>
          <w:color w:val="203654"/>
          <w:sz w:val="18"/>
        </w:rPr>
        <w:t>00 START HERE — Buyer Strategy &amp; Qualification.html</w:t>
      </w:r>
    </w:p>
    <w:p>
      <w:pPr>
        <w:spacing w:after="30"/>
        <w:ind w:left="115" w:hanging="115"/>
      </w:pPr>
      <w:r>
        <w:rPr>
          <w:rFonts w:ascii="Calibri" w:hAnsi="Calibri"/>
          <w:sz w:val="18"/>
        </w:rPr>
        <w:t>01 Buyer Process Command Center.html</w:t>
      </w:r>
    </w:p>
    <w:p>
      <w:pPr>
        <w:spacing w:after="30"/>
        <w:ind w:left="115" w:hanging="115"/>
      </w:pPr>
      <w:r>
        <w:rPr>
          <w:rFonts w:ascii="Calibri" w:hAnsi="Calibri"/>
          <w:sz w:val="18"/>
        </w:rPr>
        <w:t>02 Buyer Universe Mapping Tool.docx</w:t>
      </w:r>
    </w:p>
    <w:p>
      <w:pPr>
        <w:spacing w:after="30"/>
        <w:ind w:left="115" w:hanging="115"/>
      </w:pPr>
      <w:r>
        <w:rPr>
          <w:rFonts w:ascii="Calibri" w:hAnsi="Calibri"/>
          <w:sz w:val="18"/>
        </w:rPr>
        <w:t>03 The Buyer Qualification Funnel.docx</w:t>
      </w:r>
    </w:p>
    <w:p>
      <w:pPr>
        <w:spacing w:after="30"/>
        <w:ind w:left="115" w:hanging="115"/>
      </w:pPr>
      <w:r>
        <w:rPr>
          <w:rFonts w:ascii="Calibri" w:hAnsi="Calibri"/>
          <w:sz w:val="18"/>
        </w:rPr>
        <w:t>04 Buyer Qualification Scorecard.docx</w:t>
      </w:r>
    </w:p>
    <w:p>
      <w:pPr>
        <w:spacing w:after="30"/>
        <w:ind w:left="115" w:hanging="115"/>
      </w:pPr>
      <w:r>
        <w:rPr>
          <w:rFonts w:ascii="Calibri" w:hAnsi="Calibri"/>
          <w:sz w:val="18"/>
        </w:rPr>
        <w:t>05 Buyer Financial Capacity &amp; Certainty Checklist.docx</w:t>
      </w:r>
    </w:p>
    <w:p>
      <w:pPr>
        <w:spacing w:after="30"/>
        <w:ind w:left="115" w:hanging="115"/>
      </w:pPr>
      <w:r>
        <w:rPr>
          <w:rFonts w:ascii="Calibri" w:hAnsi="Calibri"/>
          <w:sz w:val="18"/>
        </w:rPr>
        <w:t>06 Buyer Commitment Closing Certainty Monitor.html</w:t>
      </w:r>
    </w:p>
    <w:p>
      <w:pPr>
        <w:spacing w:after="30"/>
        <w:ind w:left="115" w:hanging="115"/>
      </w:pPr>
      <w:r>
        <w:rPr>
          <w:rFonts w:ascii="Calibri" w:hAnsi="Calibri"/>
          <w:sz w:val="18"/>
        </w:rPr>
        <w:t>07 Buyer Ranking Prioritization Matrix.html</w:t>
      </w:r>
    </w:p>
    <w:p>
      <w:pPr>
        <w:spacing w:after="30"/>
        <w:ind w:left="115" w:hanging="115"/>
      </w:pPr>
      <w:r>
        <w:rPr>
          <w:rFonts w:ascii="Calibri" w:hAnsi="Calibri"/>
          <w:sz w:val="18"/>
        </w:rPr>
        <w:t>08 Strategic vs Financial Buyer Comparison.pdf</w:t>
      </w:r>
    </w:p>
    <w:p>
      <w:pPr>
        <w:spacing w:after="30"/>
        <w:ind w:left="115" w:hanging="115"/>
      </w:pPr>
      <w:r>
        <w:rPr>
          <w:rFonts w:ascii="Calibri" w:hAnsi="Calibri"/>
          <w:sz w:val="18"/>
        </w:rPr>
        <w:t>09 Buyer Contact &amp; Confidentiality Protocol.docx</w:t>
      </w:r>
    </w:p>
    <w:p>
      <w:pPr>
        <w:spacing w:after="30"/>
        <w:ind w:left="115" w:hanging="115"/>
      </w:pPr>
      <w:r>
        <w:rPr>
          <w:rFonts w:ascii="Calibri" w:hAnsi="Calibri"/>
          <w:sz w:val="18"/>
        </w:rPr>
        <w:t>10 Outbound Target List.docx</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10 TRANSACTION EXECUTION &amp; DEAL CONTROL</w:t>
            </w:r>
          </w:p>
        </w:tc>
      </w:tr>
    </w:tbl>
    <w:p>
      <w:pPr>
        <w:spacing w:after="0"/>
      </w:pPr>
    </w:p>
    <w:p>
      <w:pPr>
        <w:spacing w:after="100"/>
      </w:pPr>
      <w:r>
        <w:t>Control the active transaction through timelines, gates, issues, decisions, weekly reviews, deal comparison, and proceeds reconciliation.</w:t>
      </w:r>
    </w:p>
    <w:p>
      <w:pPr>
        <w:spacing w:after="30"/>
        <w:ind w:left="115" w:hanging="115"/>
      </w:pPr>
      <w:r>
        <w:rPr>
          <w:rFonts w:ascii="Calibri" w:hAnsi="Calibri"/>
          <w:b/>
          <w:color w:val="203654"/>
          <w:sz w:val="18"/>
        </w:rPr>
        <w:t>00 START HERE — Transaction Execution &amp; Deal Control.html</w:t>
      </w:r>
    </w:p>
    <w:p>
      <w:pPr>
        <w:spacing w:after="30"/>
        <w:ind w:left="115" w:hanging="115"/>
      </w:pPr>
      <w:r>
        <w:rPr>
          <w:rFonts w:ascii="Calibri" w:hAnsi="Calibri"/>
          <w:sz w:val="18"/>
        </w:rPr>
        <w:t>01 Transaction Timeline &amp; Critical Path.html</w:t>
      </w:r>
    </w:p>
    <w:p>
      <w:pPr>
        <w:spacing w:after="30"/>
        <w:ind w:left="115" w:hanging="115"/>
      </w:pPr>
      <w:r>
        <w:rPr>
          <w:rFonts w:ascii="Calibri" w:hAnsi="Calibri"/>
          <w:sz w:val="18"/>
        </w:rPr>
        <w:t>02 Transaction Early Warning Center.html</w:t>
      </w:r>
    </w:p>
    <w:p>
      <w:pPr>
        <w:spacing w:after="30"/>
        <w:ind w:left="115" w:hanging="115"/>
      </w:pPr>
      <w:r>
        <w:rPr>
          <w:rFonts w:ascii="Calibri" w:hAnsi="Calibri"/>
          <w:sz w:val="18"/>
        </w:rPr>
        <w:t>03 Deal Momentum Probability-to-Close Score.html</w:t>
      </w:r>
    </w:p>
    <w:p>
      <w:pPr>
        <w:spacing w:after="30"/>
        <w:ind w:left="115" w:hanging="115"/>
      </w:pPr>
      <w:r>
        <w:rPr>
          <w:rFonts w:ascii="Calibri" w:hAnsi="Calibri"/>
          <w:sz w:val="18"/>
        </w:rPr>
        <w:t>04 Exit Advisory Team Command Center.html</w:t>
      </w:r>
    </w:p>
    <w:p>
      <w:pPr>
        <w:spacing w:after="30"/>
        <w:ind w:left="115" w:hanging="115"/>
      </w:pPr>
      <w:r>
        <w:rPr>
          <w:rFonts w:ascii="Calibri" w:hAnsi="Calibri"/>
          <w:sz w:val="18"/>
        </w:rPr>
        <w:t>05 Transaction Action Register.html</w:t>
      </w:r>
    </w:p>
    <w:p>
      <w:pPr>
        <w:spacing w:after="30"/>
        <w:ind w:left="115" w:hanging="115"/>
      </w:pPr>
      <w:r>
        <w:rPr>
          <w:rFonts w:ascii="Calibri" w:hAnsi="Calibri"/>
          <w:sz w:val="18"/>
        </w:rPr>
        <w:t>06 Transaction Issue &amp; Decision Register.html</w:t>
      </w:r>
    </w:p>
    <w:p>
      <w:pPr>
        <w:spacing w:after="30"/>
        <w:ind w:left="115" w:hanging="115"/>
      </w:pPr>
      <w:r>
        <w:rPr>
          <w:rFonts w:ascii="Calibri" w:hAnsi="Calibri"/>
          <w:sz w:val="18"/>
        </w:rPr>
        <w:t>07 Weekly Transaction Review.html</w:t>
      </w:r>
    </w:p>
    <w:p>
      <w:pPr>
        <w:spacing w:after="30"/>
        <w:ind w:left="115" w:hanging="115"/>
      </w:pPr>
      <w:r>
        <w:rPr>
          <w:rFonts w:ascii="Calibri" w:hAnsi="Calibri"/>
          <w:sz w:val="18"/>
        </w:rPr>
        <w:t>08 Transaction Status Report.docx</w:t>
      </w:r>
    </w:p>
    <w:p>
      <w:pPr>
        <w:spacing w:after="30"/>
        <w:ind w:left="115" w:hanging="115"/>
      </w:pPr>
      <w:r>
        <w:rPr>
          <w:rFonts w:ascii="Calibri" w:hAnsi="Calibri"/>
          <w:sz w:val="18"/>
        </w:rPr>
        <w:t>09 Deal Comparison Dashboard.html</w:t>
      </w:r>
    </w:p>
    <w:p>
      <w:pPr>
        <w:spacing w:after="30"/>
        <w:ind w:left="115" w:hanging="115"/>
      </w:pPr>
      <w:r>
        <w:rPr>
          <w:rFonts w:ascii="Calibri" w:hAnsi="Calibri"/>
          <w:sz w:val="18"/>
        </w:rPr>
        <w:t>10 Seller Transaction Fatigue Check.html</w:t>
      </w:r>
    </w:p>
    <w:p>
      <w:pPr>
        <w:spacing w:after="30"/>
        <w:ind w:left="115" w:hanging="115"/>
      </w:pPr>
      <w:r>
        <w:rPr>
          <w:rFonts w:ascii="Calibri" w:hAnsi="Calibri"/>
          <w:sz w:val="18"/>
        </w:rPr>
        <w:t>11 Transaction Communications &amp; Confidentiality Plan.docx</w:t>
      </w:r>
    </w:p>
    <w:p>
      <w:pPr>
        <w:spacing w:after="30"/>
        <w:ind w:left="115" w:hanging="115"/>
      </w:pPr>
      <w:r>
        <w:rPr>
          <w:rFonts w:ascii="Calibri" w:hAnsi="Calibri"/>
          <w:sz w:val="18"/>
        </w:rPr>
        <w:t>12 M&amp;A Process Timeline — From Market Launch to Close.docx</w:t>
      </w:r>
    </w:p>
    <w:p>
      <w:pPr>
        <w:spacing w:after="30"/>
        <w:ind w:left="115" w:hanging="115"/>
      </w:pPr>
      <w:r>
        <w:rPr>
          <w:rFonts w:ascii="Calibri" w:hAnsi="Calibri"/>
          <w:sz w:val="18"/>
        </w:rPr>
        <w:t>13 Stage Probability Analysis.docx</w:t>
      </w:r>
    </w:p>
    <w:p>
      <w:pPr>
        <w:spacing w:after="30"/>
        <w:ind w:left="115" w:hanging="115"/>
      </w:pPr>
      <w:r>
        <w:rPr>
          <w:rFonts w:ascii="Calibri" w:hAnsi="Calibri"/>
          <w:sz w:val="18"/>
        </w:rPr>
        <w:t>14 Funds Flow Seller Proceeds Reconciliation.html</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11 DUE DILIGENCE &amp; DEAL PROTECTION</w:t>
            </w:r>
          </w:p>
        </w:tc>
      </w:tr>
    </w:tbl>
    <w:p>
      <w:pPr>
        <w:spacing w:after="0"/>
      </w:pPr>
    </w:p>
    <w:p>
      <w:pPr>
        <w:spacing w:after="100"/>
      </w:pPr>
      <w:r>
        <w:t>Manage diligence requests, findings, exposures, red flags, QoE responses, disclosures, and deal-protection actions.</w:t>
      </w:r>
    </w:p>
    <w:p>
      <w:pPr>
        <w:spacing w:after="30"/>
        <w:ind w:left="115" w:hanging="115"/>
      </w:pPr>
      <w:r>
        <w:rPr>
          <w:rFonts w:ascii="Calibri" w:hAnsi="Calibri"/>
          <w:b/>
          <w:color w:val="203654"/>
          <w:sz w:val="18"/>
        </w:rPr>
        <w:t>00 START HERE — Due Diligence &amp; Deal Protection.html</w:t>
      </w:r>
    </w:p>
    <w:p>
      <w:pPr>
        <w:spacing w:after="30"/>
        <w:ind w:left="115" w:hanging="115"/>
      </w:pPr>
      <w:r>
        <w:rPr>
          <w:rFonts w:ascii="Calibri" w:hAnsi="Calibri"/>
          <w:sz w:val="18"/>
        </w:rPr>
        <w:t>01 Due Diligence Command Center.html</w:t>
      </w:r>
    </w:p>
    <w:p>
      <w:pPr>
        <w:spacing w:after="30"/>
        <w:ind w:left="115" w:hanging="115"/>
      </w:pPr>
      <w:r>
        <w:rPr>
          <w:rFonts w:ascii="Calibri" w:hAnsi="Calibri"/>
          <w:sz w:val="18"/>
        </w:rPr>
        <w:t>02 Diligence Request Response Protocol.docx</w:t>
      </w:r>
    </w:p>
    <w:p>
      <w:pPr>
        <w:spacing w:after="30"/>
        <w:ind w:left="115" w:hanging="115"/>
      </w:pPr>
      <w:r>
        <w:rPr>
          <w:rFonts w:ascii="Calibri" w:hAnsi="Calibri"/>
          <w:sz w:val="18"/>
        </w:rPr>
        <w:t>03 Due Diligence Tracker.docx</w:t>
      </w:r>
    </w:p>
    <w:p>
      <w:pPr>
        <w:spacing w:after="30"/>
        <w:ind w:left="115" w:hanging="115"/>
      </w:pPr>
      <w:r>
        <w:rPr>
          <w:rFonts w:ascii="Calibri" w:hAnsi="Calibri"/>
          <w:sz w:val="18"/>
        </w:rPr>
        <w:t>04 Diligence Findings Exposure Register.html</w:t>
      </w:r>
    </w:p>
    <w:p>
      <w:pPr>
        <w:spacing w:after="30"/>
        <w:ind w:left="115" w:hanging="115"/>
      </w:pPr>
      <w:r>
        <w:rPr>
          <w:rFonts w:ascii="Calibri" w:hAnsi="Calibri"/>
          <w:sz w:val="18"/>
        </w:rPr>
        <w:t>05 Deal Risk Heatmap.docx</w:t>
      </w:r>
    </w:p>
    <w:p>
      <w:pPr>
        <w:spacing w:after="30"/>
        <w:ind w:left="115" w:hanging="115"/>
      </w:pPr>
      <w:r>
        <w:rPr>
          <w:rFonts w:ascii="Calibri" w:hAnsi="Calibri"/>
          <w:sz w:val="18"/>
        </w:rPr>
        <w:t>06 Quality of Earnings Response Workbook.docx</w:t>
      </w:r>
    </w:p>
    <w:p>
      <w:pPr>
        <w:spacing w:after="30"/>
        <w:ind w:left="115" w:hanging="115"/>
      </w:pPr>
      <w:r>
        <w:rPr>
          <w:rFonts w:ascii="Calibri" w:hAnsi="Calibri"/>
          <w:sz w:val="18"/>
        </w:rPr>
        <w:t>07 Data Room Access &amp; Disclosure Log.docx</w:t>
      </w:r>
    </w:p>
    <w:p>
      <w:pPr>
        <w:spacing w:after="30"/>
        <w:ind w:left="115" w:hanging="115"/>
      </w:pPr>
      <w:r>
        <w:rPr>
          <w:rFonts w:ascii="Calibri" w:hAnsi="Calibri"/>
          <w:sz w:val="18"/>
        </w:rPr>
        <w:t>08 Red Flags Checklist.docx</w:t>
      </w:r>
    </w:p>
    <w:p>
      <w:pPr>
        <w:spacing w:after="30"/>
        <w:ind w:left="115" w:hanging="115"/>
      </w:pPr>
      <w:r>
        <w:rPr>
          <w:rFonts w:ascii="Calibri" w:hAnsi="Calibri"/>
          <w:sz w:val="18"/>
        </w:rPr>
        <w:t>09 Exit Red Flags Checklist.pdf</w:t>
      </w:r>
    </w:p>
    <w:p>
      <w:pPr>
        <w:spacing w:after="30"/>
        <w:ind w:left="115" w:hanging="115"/>
      </w:pPr>
      <w:r>
        <w:rPr>
          <w:rFonts w:ascii="Calibri" w:hAnsi="Calibri"/>
          <w:sz w:val="18"/>
        </w:rPr>
        <w:t>10 Risk Exposure Audit Template.docx</w:t>
      </w:r>
    </w:p>
    <w:p>
      <w:pPr>
        <w:spacing w:after="30"/>
        <w:ind w:left="115" w:hanging="115"/>
      </w:pPr>
      <w:r>
        <w:rPr>
          <w:rFonts w:ascii="Calibri" w:hAnsi="Calibri"/>
          <w:sz w:val="18"/>
        </w:rPr>
        <w:t>11 PreSale Risk Mitigation Planner.pdf</w:t>
      </w:r>
    </w:p>
    <w:p>
      <w:pPr>
        <w:spacing w:after="30"/>
        <w:ind w:left="115" w:hanging="115"/>
      </w:pPr>
      <w:r>
        <w:rPr>
          <w:rFonts w:ascii="Calibri" w:hAnsi="Calibri"/>
          <w:sz w:val="18"/>
        </w:rPr>
        <w:t>12 VDR Structure Template.pdf</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12 NEGOTIATION, LOI &amp; DEAL STRUCTURE</w:t>
            </w:r>
          </w:p>
        </w:tc>
      </w:tr>
    </w:tbl>
    <w:p>
      <w:pPr>
        <w:spacing w:after="0"/>
      </w:pPr>
    </w:p>
    <w:p>
      <w:pPr>
        <w:spacing w:after="100"/>
      </w:pPr>
      <w:r>
        <w:t>Evaluate LOIs and deal structures, negotiate economics and protections, track concessions and re-trades, and know when to walk away.</w:t>
      </w:r>
    </w:p>
    <w:p>
      <w:pPr>
        <w:spacing w:after="30"/>
        <w:ind w:left="115" w:hanging="115"/>
      </w:pPr>
      <w:r>
        <w:rPr>
          <w:rFonts w:ascii="Calibri" w:hAnsi="Calibri"/>
          <w:b/>
          <w:color w:val="203654"/>
          <w:sz w:val="18"/>
        </w:rPr>
        <w:t>00 START HERE — Negotiation, Loi &amp; Deal Structure.html</w:t>
      </w:r>
    </w:p>
    <w:p>
      <w:pPr>
        <w:spacing w:after="30"/>
        <w:ind w:left="115" w:hanging="115"/>
      </w:pPr>
      <w:r>
        <w:rPr>
          <w:rFonts w:ascii="Calibri" w:hAnsi="Calibri"/>
          <w:sz w:val="18"/>
        </w:rPr>
        <w:t>01 LOI Red Flag Checklist.docx</w:t>
      </w:r>
    </w:p>
    <w:p>
      <w:pPr>
        <w:spacing w:after="30"/>
        <w:ind w:left="115" w:hanging="115"/>
      </w:pPr>
      <w:r>
        <w:rPr>
          <w:rFonts w:ascii="Calibri" w:hAnsi="Calibri"/>
          <w:sz w:val="18"/>
        </w:rPr>
        <w:t>02 LOI Comparison Sheet.docx</w:t>
      </w:r>
    </w:p>
    <w:p>
      <w:pPr>
        <w:spacing w:after="30"/>
        <w:ind w:left="115" w:hanging="115"/>
      </w:pPr>
      <w:r>
        <w:rPr>
          <w:rFonts w:ascii="Calibri" w:hAnsi="Calibri"/>
          <w:sz w:val="18"/>
        </w:rPr>
        <w:t>03 LOI Comparison Template.docx</w:t>
      </w:r>
    </w:p>
    <w:p>
      <w:pPr>
        <w:spacing w:after="30"/>
        <w:ind w:left="115" w:hanging="115"/>
      </w:pPr>
      <w:r>
        <w:rPr>
          <w:rFonts w:ascii="Calibri" w:hAnsi="Calibri"/>
          <w:sz w:val="18"/>
        </w:rPr>
        <w:t>04 Buyer LOI Comparison — Radar Chart (Illustrative).docx</w:t>
      </w:r>
    </w:p>
    <w:p>
      <w:pPr>
        <w:spacing w:after="30"/>
        <w:ind w:left="115" w:hanging="115"/>
      </w:pPr>
      <w:r>
        <w:rPr>
          <w:rFonts w:ascii="Calibri" w:hAnsi="Calibri"/>
          <w:sz w:val="18"/>
        </w:rPr>
        <w:t>05 Deal Structure Decision Guide.docx</w:t>
      </w:r>
    </w:p>
    <w:p>
      <w:pPr>
        <w:spacing w:after="30"/>
        <w:ind w:left="115" w:hanging="115"/>
      </w:pPr>
      <w:r>
        <w:rPr>
          <w:rFonts w:ascii="Calibri" w:hAnsi="Calibri"/>
          <w:sz w:val="18"/>
        </w:rPr>
        <w:t>06 Founders Exit Negotiation Strategy Planner.docx</w:t>
      </w:r>
    </w:p>
    <w:p>
      <w:pPr>
        <w:spacing w:after="30"/>
        <w:ind w:left="115" w:hanging="115"/>
      </w:pPr>
      <w:r>
        <w:rPr>
          <w:rFonts w:ascii="Calibri" w:hAnsi="Calibri"/>
          <w:sz w:val="18"/>
        </w:rPr>
        <w:t>07 Negotiation Strategy Planner.docx</w:t>
      </w:r>
    </w:p>
    <w:p>
      <w:pPr>
        <w:spacing w:after="30"/>
        <w:ind w:left="115" w:hanging="115"/>
      </w:pPr>
      <w:r>
        <w:rPr>
          <w:rFonts w:ascii="Calibri" w:hAnsi="Calibri"/>
          <w:sz w:val="18"/>
        </w:rPr>
        <w:t>08 Negotiation Concession Register.docx</w:t>
      </w:r>
    </w:p>
    <w:p>
      <w:pPr>
        <w:spacing w:after="30"/>
        <w:ind w:left="115" w:hanging="115"/>
      </w:pPr>
      <w:r>
        <w:rPr>
          <w:rFonts w:ascii="Calibri" w:hAnsi="Calibri"/>
          <w:sz w:val="18"/>
        </w:rPr>
        <w:t>09 Risk-Adjusted Value - Why Cash % Matters More Than Headline Price.docx</w:t>
      </w:r>
    </w:p>
    <w:p>
      <w:pPr>
        <w:spacing w:after="30"/>
        <w:ind w:left="115" w:hanging="115"/>
      </w:pPr>
      <w:r>
        <w:rPr>
          <w:rFonts w:ascii="Calibri" w:hAnsi="Calibri"/>
          <w:sz w:val="18"/>
        </w:rPr>
        <w:t>10 Earnout Structure Planner.docx</w:t>
      </w:r>
    </w:p>
    <w:p>
      <w:pPr>
        <w:spacing w:after="30"/>
        <w:ind w:left="115" w:hanging="115"/>
      </w:pPr>
      <w:r>
        <w:rPr>
          <w:rFonts w:ascii="Calibri" w:hAnsi="Calibri"/>
          <w:sz w:val="18"/>
        </w:rPr>
        <w:t>11 Earnout Reality - What Founders Actually Receive vs. Maximum.docx</w:t>
      </w:r>
    </w:p>
    <w:p>
      <w:pPr>
        <w:spacing w:after="30"/>
        <w:ind w:left="115" w:hanging="115"/>
      </w:pPr>
      <w:r>
        <w:rPr>
          <w:rFonts w:ascii="Calibri" w:hAnsi="Calibri"/>
          <w:sz w:val="18"/>
        </w:rPr>
        <w:t>12 Equity Rollover Calculator.docx</w:t>
      </w:r>
    </w:p>
    <w:p>
      <w:pPr>
        <w:spacing w:after="30"/>
        <w:ind w:left="115" w:hanging="115"/>
      </w:pPr>
      <w:r>
        <w:rPr>
          <w:rFonts w:ascii="Calibri" w:hAnsi="Calibri"/>
          <w:sz w:val="18"/>
        </w:rPr>
        <w:t>13 Working Capital Peg Negotiation Planner.docx</w:t>
      </w:r>
    </w:p>
    <w:p>
      <w:pPr>
        <w:spacing w:after="30"/>
        <w:ind w:left="115" w:hanging="115"/>
      </w:pPr>
      <w:r>
        <w:rPr>
          <w:rFonts w:ascii="Calibri" w:hAnsi="Calibri"/>
          <w:sz w:val="18"/>
        </w:rPr>
        <w:t>14 Escrow % Negotiation — Dollar Impact at Different Deal Sizes.docx</w:t>
      </w:r>
    </w:p>
    <w:p>
      <w:pPr>
        <w:spacing w:after="30"/>
        <w:ind w:left="115" w:hanging="115"/>
      </w:pPr>
      <w:r>
        <w:rPr>
          <w:rFonts w:ascii="Calibri" w:hAnsi="Calibri"/>
          <w:sz w:val="18"/>
        </w:rPr>
        <w:t>15 Purchase Price Adjustment Tracker.docx</w:t>
      </w:r>
    </w:p>
    <w:p>
      <w:pPr>
        <w:spacing w:after="30"/>
        <w:ind w:left="115" w:hanging="115"/>
      </w:pPr>
      <w:r>
        <w:rPr>
          <w:rFonts w:ascii="Calibri" w:hAnsi="Calibri"/>
          <w:sz w:val="18"/>
        </w:rPr>
        <w:t>16 Deal Re-Trade Tracker.html</w:t>
      </w:r>
    </w:p>
    <w:p>
      <w:pPr>
        <w:spacing w:after="30"/>
        <w:ind w:left="115" w:hanging="115"/>
      </w:pPr>
      <w:r>
        <w:rPr>
          <w:rFonts w:ascii="Calibri" w:hAnsi="Calibri"/>
          <w:sz w:val="18"/>
        </w:rPr>
        <w:t>17 Deal Walk-Away Decision Framework.html</w:t>
      </w:r>
    </w:p>
    <w:p>
      <w:pPr>
        <w:spacing w:after="30"/>
        <w:ind w:left="115" w:hanging="115"/>
      </w:pPr>
      <w:r>
        <w:rPr>
          <w:rFonts w:ascii="Calibri" w:hAnsi="Calibri"/>
          <w:sz w:val="18"/>
        </w:rPr>
        <w:t>18 Common Deal Terms Cheat Sheet.docx</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13 CLOSING &amp; TRANSITION</w:t>
            </w:r>
          </w:p>
        </w:tc>
      </w:tr>
    </w:tbl>
    <w:p>
      <w:pPr>
        <w:spacing w:after="0"/>
      </w:pPr>
    </w:p>
    <w:p>
      <w:pPr>
        <w:spacing w:after="100"/>
      </w:pPr>
      <w:r>
        <w:t>Drive closing readiness, conditions, fees, Day 1 transition, and post-close seller obligations.</w:t>
      </w:r>
    </w:p>
    <w:p>
      <w:pPr>
        <w:spacing w:after="30"/>
        <w:ind w:left="115" w:hanging="115"/>
      </w:pPr>
      <w:r>
        <w:rPr>
          <w:rFonts w:ascii="Calibri" w:hAnsi="Calibri"/>
          <w:b/>
          <w:color w:val="203654"/>
          <w:sz w:val="18"/>
        </w:rPr>
        <w:t>00 START HERE — Closing &amp; Transition.html</w:t>
      </w:r>
    </w:p>
    <w:p>
      <w:pPr>
        <w:spacing w:after="30"/>
        <w:ind w:left="115" w:hanging="115"/>
      </w:pPr>
      <w:r>
        <w:rPr>
          <w:rFonts w:ascii="Calibri" w:hAnsi="Calibri"/>
          <w:sz w:val="18"/>
        </w:rPr>
        <w:t>01 Closing Readiness Dashboard.html</w:t>
      </w:r>
    </w:p>
    <w:p>
      <w:pPr>
        <w:spacing w:after="30"/>
        <w:ind w:left="115" w:hanging="115"/>
      </w:pPr>
      <w:r>
        <w:rPr>
          <w:rFonts w:ascii="Calibri" w:hAnsi="Calibri"/>
          <w:sz w:val="18"/>
        </w:rPr>
        <w:t>02 Closing Conditions Tracker.html</w:t>
      </w:r>
    </w:p>
    <w:p>
      <w:pPr>
        <w:spacing w:after="30"/>
        <w:ind w:left="115" w:hanging="115"/>
      </w:pPr>
      <w:r>
        <w:rPr>
          <w:rFonts w:ascii="Calibri" w:hAnsi="Calibri"/>
          <w:sz w:val="18"/>
        </w:rPr>
        <w:t>03 Master Closing Checklist.docx</w:t>
      </w:r>
    </w:p>
    <w:p>
      <w:pPr>
        <w:spacing w:after="30"/>
        <w:ind w:left="115" w:hanging="115"/>
      </w:pPr>
      <w:r>
        <w:rPr>
          <w:rFonts w:ascii="Calibri" w:hAnsi="Calibri"/>
          <w:sz w:val="18"/>
        </w:rPr>
        <w:t>04 Closing Fee Schedule.docx</w:t>
      </w:r>
    </w:p>
    <w:p>
      <w:pPr>
        <w:spacing w:after="30"/>
        <w:ind w:left="115" w:hanging="115"/>
      </w:pPr>
      <w:r>
        <w:rPr>
          <w:rFonts w:ascii="Calibri" w:hAnsi="Calibri"/>
          <w:sz w:val="18"/>
        </w:rPr>
        <w:t>05 Day 1 Transition Checklist.docx</w:t>
      </w:r>
    </w:p>
    <w:p>
      <w:pPr>
        <w:spacing w:after="30"/>
        <w:ind w:left="115" w:hanging="115"/>
      </w:pPr>
      <w:r>
        <w:rPr>
          <w:rFonts w:ascii="Calibri" w:hAnsi="Calibri"/>
          <w:sz w:val="18"/>
        </w:rPr>
        <w:t>06 Seller Post-Close Obligations Register.docx</w:t>
      </w:r>
    </w:p>
    <w:p>
      <w:pPr>
        <w:spacing w:after="30"/>
        <w:ind w:left="115" w:hanging="115"/>
      </w:pPr>
      <w:r>
        <w:rPr>
          <w:rFonts w:ascii="Calibri" w:hAnsi="Calibri"/>
          <w:sz w:val="18"/>
        </w:rPr>
        <w:t>07 Day Post Closing Action Plan.docx</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14 POST-EXIT WEALTH, LIFE &amp; LEGACY</w:t>
            </w:r>
          </w:p>
        </w:tc>
      </w:tr>
    </w:tbl>
    <w:p>
      <w:pPr>
        <w:spacing w:after="0"/>
      </w:pPr>
    </w:p>
    <w:p>
      <w:pPr>
        <w:spacing w:after="100"/>
      </w:pPr>
      <w:r>
        <w:t>Plan taxes, after-tax proceeds, wealth deployment, founder identity and life transition, legacy, and succession.</w:t>
      </w:r>
    </w:p>
    <w:p>
      <w:pPr>
        <w:spacing w:after="30"/>
        <w:ind w:left="115" w:hanging="115"/>
      </w:pPr>
      <w:r>
        <w:rPr>
          <w:rFonts w:ascii="Calibri" w:hAnsi="Calibri"/>
          <w:b/>
          <w:color w:val="203654"/>
          <w:sz w:val="18"/>
        </w:rPr>
        <w:t>00 START HERE — Post-Exit Wealth, Life &amp; Legacy.html</w:t>
      </w:r>
    </w:p>
    <w:p>
      <w:pPr>
        <w:spacing w:after="30"/>
        <w:ind w:left="115" w:hanging="115"/>
      </w:pPr>
      <w:r>
        <w:rPr>
          <w:rFonts w:ascii="Calibri" w:hAnsi="Calibri"/>
          <w:sz w:val="18"/>
        </w:rPr>
        <w:t>01 Exit Tax Planning Overview.docx</w:t>
      </w:r>
    </w:p>
    <w:p>
      <w:pPr>
        <w:spacing w:after="30"/>
        <w:ind w:left="115" w:hanging="115"/>
      </w:pPr>
      <w:r>
        <w:rPr>
          <w:rFonts w:ascii="Calibri" w:hAnsi="Calibri"/>
          <w:sz w:val="18"/>
        </w:rPr>
        <w:t>02 Asset vs Stock Sale.docx</w:t>
      </w:r>
    </w:p>
    <w:p>
      <w:pPr>
        <w:spacing w:after="30"/>
        <w:ind w:left="115" w:hanging="115"/>
      </w:pPr>
      <w:r>
        <w:rPr>
          <w:rFonts w:ascii="Calibri" w:hAnsi="Calibri"/>
          <w:sz w:val="18"/>
        </w:rPr>
        <w:t>03 Tax Impact by Deal Structure &amp; State.docx</w:t>
      </w:r>
    </w:p>
    <w:p>
      <w:pPr>
        <w:spacing w:after="30"/>
        <w:ind w:left="115" w:hanging="115"/>
      </w:pPr>
      <w:r>
        <w:rPr>
          <w:rFonts w:ascii="Calibri" w:hAnsi="Calibri"/>
          <w:sz w:val="18"/>
        </w:rPr>
        <w:t>04 After Tax Proceeds Estimator.docx</w:t>
      </w:r>
    </w:p>
    <w:p>
      <w:pPr>
        <w:spacing w:after="30"/>
        <w:ind w:left="115" w:hanging="115"/>
      </w:pPr>
      <w:r>
        <w:rPr>
          <w:rFonts w:ascii="Calibri" w:hAnsi="Calibri"/>
          <w:sz w:val="18"/>
        </w:rPr>
        <w:t>05 Wealth Deployment Plan.docx</w:t>
      </w:r>
    </w:p>
    <w:p>
      <w:pPr>
        <w:spacing w:after="30"/>
        <w:ind w:left="115" w:hanging="115"/>
      </w:pPr>
      <w:r>
        <w:rPr>
          <w:rFonts w:ascii="Calibri" w:hAnsi="Calibri"/>
          <w:sz w:val="18"/>
        </w:rPr>
        <w:t>06 The Six-Bucket Capital Allocation Model.docx</w:t>
      </w:r>
    </w:p>
    <w:p>
      <w:pPr>
        <w:spacing w:after="30"/>
        <w:ind w:left="115" w:hanging="115"/>
      </w:pPr>
      <w:r>
        <w:rPr>
          <w:rFonts w:ascii="Calibri" w:hAnsi="Calibri"/>
          <w:sz w:val="18"/>
        </w:rPr>
        <w:t>07 The Perpetual Wealth Formula — How Much Capital You Need.docx</w:t>
      </w:r>
    </w:p>
    <w:p>
      <w:pPr>
        <w:spacing w:after="30"/>
        <w:ind w:left="115" w:hanging="115"/>
      </w:pPr>
      <w:r>
        <w:rPr>
          <w:rFonts w:ascii="Calibri" w:hAnsi="Calibri"/>
          <w:sz w:val="18"/>
        </w:rPr>
        <w:t>08 The Power of Compounding — $5M Proceeds Over 20 Years.docx</w:t>
      </w:r>
    </w:p>
    <w:p>
      <w:pPr>
        <w:spacing w:after="30"/>
        <w:ind w:left="115" w:hanging="115"/>
      </w:pPr>
      <w:r>
        <w:rPr>
          <w:rFonts w:ascii="Calibri" w:hAnsi="Calibri"/>
          <w:sz w:val="18"/>
        </w:rPr>
        <w:t>09 Founder Identity Transition Workbook.docx</w:t>
      </w:r>
    </w:p>
    <w:p>
      <w:pPr>
        <w:spacing w:after="30"/>
        <w:ind w:left="115" w:hanging="115"/>
      </w:pPr>
      <w:r>
        <w:rPr>
          <w:rFonts w:ascii="Calibri" w:hAnsi="Calibri"/>
          <w:sz w:val="18"/>
        </w:rPr>
        <w:t>10 Post Exit Life Planning Worksheet.docx</w:t>
      </w:r>
    </w:p>
    <w:p>
      <w:pPr>
        <w:spacing w:after="30"/>
        <w:ind w:left="115" w:hanging="115"/>
      </w:pPr>
      <w:r>
        <w:rPr>
          <w:rFonts w:ascii="Calibri" w:hAnsi="Calibri"/>
          <w:sz w:val="18"/>
        </w:rPr>
        <w:t>11 Legacy Statement Template.docx</w:t>
      </w:r>
    </w:p>
    <w:p>
      <w:pPr>
        <w:spacing w:after="30"/>
        <w:ind w:left="115" w:hanging="115"/>
      </w:pPr>
      <w:r>
        <w:rPr>
          <w:rFonts w:ascii="Calibri" w:hAnsi="Calibri"/>
          <w:sz w:val="18"/>
        </w:rPr>
        <w:t>12 Succession Planning Master Checklist.docx</w:t>
      </w:r>
    </w:p>
    <w:p>
      <w:pPr>
        <w:spacing w:after="30"/>
        <w:ind w:left="115" w:hanging="115"/>
      </w:pPr>
      <w:r>
        <w:rPr>
          <w:rFonts w:ascii="Calibri" w:hAnsi="Calibri"/>
          <w:sz w:val="18"/>
        </w:rPr>
        <w:t>13 Succession Planning Progress Dashboard.docx</w:t>
      </w:r>
    </w:p>
    <w:p>
      <w:pPr>
        <w:spacing w:after="30"/>
        <w:ind w:left="115" w:hanging="115"/>
      </w:pPr>
      <w:r>
        <w:rPr>
          <w:rFonts w:ascii="Calibri" w:hAnsi="Calibri"/>
          <w:sz w:val="18"/>
        </w:rPr>
        <w:t>14 Succession Planning Budget Worksheet.docx</w:t>
      </w:r>
    </w:p>
    <w:p>
      <w:pPr>
        <w:spacing w:after="30"/>
        <w:ind w:left="115" w:hanging="115"/>
      </w:pPr>
      <w:r>
        <w:rPr>
          <w:rFonts w:ascii="Calibri" w:hAnsi="Calibri"/>
          <w:sz w:val="18"/>
        </w:rPr>
        <w:t>15 Business Succession Key Person Plan.docx</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15 REFERENCE, CASE STUDIES &amp; ADVANCED RESOURCES</w:t>
            </w:r>
          </w:p>
        </w:tc>
      </w:tr>
    </w:tbl>
    <w:p>
      <w:pPr>
        <w:spacing w:after="0"/>
      </w:pPr>
    </w:p>
    <w:p>
      <w:pPr>
        <w:spacing w:after="100"/>
      </w:pPr>
      <w:r>
        <w:t>Reference advanced exit scenarios, founder mistakes, ESOP feasibility, and practical case studies across multiple deal types.</w:t>
      </w:r>
    </w:p>
    <w:p>
      <w:pPr>
        <w:spacing w:after="30"/>
        <w:ind w:left="115" w:hanging="115"/>
      </w:pPr>
      <w:r>
        <w:rPr>
          <w:rFonts w:ascii="Calibri" w:hAnsi="Calibri"/>
          <w:b/>
          <w:color w:val="203654"/>
          <w:sz w:val="18"/>
        </w:rPr>
        <w:t>00 START HERE — Reference, Case Studies &amp; Advanced Resources.html</w:t>
      </w:r>
    </w:p>
    <w:p>
      <w:pPr>
        <w:spacing w:after="30"/>
        <w:ind w:left="115" w:hanging="115"/>
      </w:pPr>
      <w:r>
        <w:rPr>
          <w:rFonts w:ascii="Calibri" w:hAnsi="Calibri"/>
          <w:sz w:val="18"/>
        </w:rPr>
        <w:t>01 Founder Mistakes Playbook.docx</w:t>
      </w:r>
    </w:p>
    <w:p>
      <w:pPr>
        <w:spacing w:after="30"/>
        <w:ind w:left="115" w:hanging="115"/>
      </w:pPr>
      <w:r>
        <w:rPr>
          <w:rFonts w:ascii="Calibri" w:hAnsi="Calibri"/>
          <w:sz w:val="18"/>
        </w:rPr>
        <w:t>02 Advanced Deal Scenarios.docx</w:t>
      </w:r>
    </w:p>
    <w:p>
      <w:pPr>
        <w:spacing w:after="30"/>
        <w:ind w:left="115" w:hanging="115"/>
      </w:pPr>
      <w:r>
        <w:rPr>
          <w:rFonts w:ascii="Calibri" w:hAnsi="Calibri"/>
          <w:sz w:val="18"/>
        </w:rPr>
        <w:t>03 Case Study 3 - Failed Deal.docx</w:t>
      </w:r>
    </w:p>
    <w:p>
      <w:pPr>
        <w:spacing w:after="30"/>
        <w:ind w:left="115" w:hanging="115"/>
      </w:pPr>
      <w:r>
        <w:rPr>
          <w:rFonts w:ascii="Calibri" w:hAnsi="Calibri"/>
          <w:sz w:val="18"/>
        </w:rPr>
        <w:t>04 Case Study 1 - $5M Exit.docx</w:t>
      </w:r>
    </w:p>
    <w:p>
      <w:pPr>
        <w:spacing w:after="30"/>
        <w:ind w:left="115" w:hanging="115"/>
      </w:pPr>
      <w:r>
        <w:rPr>
          <w:rFonts w:ascii="Calibri" w:hAnsi="Calibri"/>
          <w:sz w:val="18"/>
        </w:rPr>
        <w:t>05 Case Study 2 - $20M Exit.docx</w:t>
      </w:r>
    </w:p>
    <w:p>
      <w:pPr>
        <w:spacing w:after="30"/>
        <w:ind w:left="115" w:hanging="115"/>
      </w:pPr>
      <w:r>
        <w:rPr>
          <w:rFonts w:ascii="Calibri" w:hAnsi="Calibri"/>
          <w:sz w:val="18"/>
        </w:rPr>
        <w:t>06 Case Study 5 - $12M Private Equity Partnership.docx</w:t>
      </w:r>
    </w:p>
    <w:p>
      <w:pPr>
        <w:spacing w:after="30"/>
        <w:ind w:left="115" w:hanging="115"/>
      </w:pPr>
      <w:r>
        <w:rPr>
          <w:rFonts w:ascii="Calibri" w:hAnsi="Calibri"/>
          <w:sz w:val="18"/>
        </w:rPr>
        <w:t>07 Case Study 4- $22M Strategic Recap.docx</w:t>
      </w:r>
    </w:p>
    <w:p>
      <w:pPr>
        <w:spacing w:after="30"/>
        <w:ind w:left="115" w:hanging="115"/>
      </w:pPr>
      <w:r>
        <w:rPr>
          <w:rFonts w:ascii="Calibri" w:hAnsi="Calibri"/>
          <w:sz w:val="18"/>
        </w:rPr>
        <w:t>08 Case Study 6 - $3.8M Asset Sale Exit.docx</w:t>
      </w:r>
    </w:p>
    <w:p>
      <w:pPr>
        <w:spacing w:after="30"/>
        <w:ind w:left="115" w:hanging="115"/>
      </w:pPr>
      <w:r>
        <w:rPr>
          <w:rFonts w:ascii="Calibri" w:hAnsi="Calibri"/>
          <w:sz w:val="18"/>
        </w:rPr>
        <w:t>09 Case Study 10 - $32M Leveraged ESOP Transaction.docx</w:t>
      </w:r>
    </w:p>
    <w:p>
      <w:pPr>
        <w:spacing w:after="30"/>
        <w:ind w:left="115" w:hanging="115"/>
      </w:pPr>
      <w:r>
        <w:rPr>
          <w:rFonts w:ascii="Calibri" w:hAnsi="Calibri"/>
          <w:sz w:val="18"/>
        </w:rPr>
        <w:t>10 Case Study 11 - $26M Management Buyout (MBO).docx</w:t>
      </w:r>
    </w:p>
    <w:p>
      <w:pPr>
        <w:spacing w:after="30"/>
        <w:ind w:left="115" w:hanging="115"/>
      </w:pPr>
      <w:r>
        <w:rPr>
          <w:rFonts w:ascii="Calibri" w:hAnsi="Calibri"/>
          <w:sz w:val="18"/>
        </w:rPr>
        <w:t>11 Case Study 12 - $55M Programmatic Roll-Up Strategy.docx</w:t>
      </w:r>
    </w:p>
    <w:p>
      <w:pPr>
        <w:spacing w:after="30"/>
        <w:ind w:left="115" w:hanging="115"/>
      </w:pPr>
      <w:r>
        <w:rPr>
          <w:rFonts w:ascii="Calibri" w:hAnsi="Calibri"/>
          <w:sz w:val="18"/>
        </w:rPr>
        <w:t>12 Case Study 7 - $45M Cross-Border Corporate Carve-Out.docx</w:t>
      </w:r>
    </w:p>
    <w:p>
      <w:pPr>
        <w:spacing w:after="30"/>
        <w:ind w:left="115" w:hanging="115"/>
      </w:pPr>
      <w:r>
        <w:rPr>
          <w:rFonts w:ascii="Calibri" w:hAnsi="Calibri"/>
          <w:sz w:val="18"/>
        </w:rPr>
        <w:t>13 Case Study 8 - $7.2M Distressed Asset Turnaround.docx</w:t>
      </w:r>
    </w:p>
    <w:p>
      <w:pPr>
        <w:spacing w:after="30"/>
        <w:ind w:left="115" w:hanging="115"/>
      </w:pPr>
      <w:r>
        <w:rPr>
          <w:rFonts w:ascii="Calibri" w:hAnsi="Calibri"/>
          <w:sz w:val="18"/>
        </w:rPr>
        <w:t>14 Case Study 9 - $18M Corporate Venture Capital (CVC) Minority Growth Round.docx</w:t>
      </w:r>
    </w:p>
    <w:p>
      <w:pPr>
        <w:spacing w:after="30"/>
        <w:ind w:left="115" w:hanging="115"/>
      </w:pPr>
      <w:r>
        <w:rPr>
          <w:rFonts w:ascii="Calibri" w:hAnsi="Calibri"/>
          <w:sz w:val="18"/>
        </w:rPr>
        <w:t>15 ESOP Feasibility Assessment.docx</w:t>
      </w:r>
    </w:p>
    <w:p>
      <w:pPr>
        <w:spacing w:after="30"/>
        <w:ind w:left="115" w:hanging="115"/>
      </w:pPr>
      <w:r>
        <w:rPr>
          <w:rFonts w:ascii="Calibri" w:hAnsi="Calibri"/>
          <w:sz w:val="18"/>
        </w:rPr>
        <w:t>16 EXOS VISUALS ZIP 613-411.zip</w:t>
      </w:r>
    </w:p>
    <w:p>
      <w:pPr>
        <w:spacing w:after="40"/>
      </w:pP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16 LICENSE, LEGAL &amp; CUSTOMER SUPPORT</w:t>
            </w:r>
          </w:p>
        </w:tc>
      </w:tr>
    </w:tbl>
    <w:p>
      <w:pPr>
        <w:spacing w:after="0"/>
      </w:pPr>
    </w:p>
    <w:p>
      <w:pPr>
        <w:spacing w:after="100"/>
      </w:pPr>
      <w:r>
        <w:t>Customer license, legal/professional-use disclaimer, satisfaction guarantee, and support-related package terms.</w:t>
      </w:r>
    </w:p>
    <w:p>
      <w:pPr>
        <w:spacing w:after="30"/>
        <w:ind w:left="115" w:hanging="115"/>
      </w:pPr>
      <w:r>
        <w:rPr>
          <w:rFonts w:ascii="Calibri" w:hAnsi="Calibri"/>
          <w:b/>
          <w:color w:val="203654"/>
          <w:sz w:val="18"/>
        </w:rPr>
        <w:t>00 START HERE — License, Legal &amp; Customer Support.html</w:t>
      </w:r>
    </w:p>
    <w:p>
      <w:pPr>
        <w:spacing w:after="30"/>
        <w:ind w:left="115" w:hanging="115"/>
      </w:pPr>
      <w:r>
        <w:rPr>
          <w:rFonts w:ascii="Calibri" w:hAnsi="Calibri"/>
          <w:sz w:val="18"/>
        </w:rPr>
        <w:t>01 Legal, Tax, Investment &amp; Professional Advice Disclaimer.docx</w:t>
      </w:r>
    </w:p>
    <w:p>
      <w:pPr>
        <w:spacing w:after="30"/>
        <w:ind w:left="115" w:hanging="115"/>
      </w:pPr>
      <w:r>
        <w:rPr>
          <w:rFonts w:ascii="Calibri" w:hAnsi="Calibri"/>
          <w:sz w:val="18"/>
        </w:rPr>
        <w:t>02 Copyright Notice &amp; End User License Agreement.docx</w:t>
      </w:r>
    </w:p>
    <w:p>
      <w:pPr>
        <w:spacing w:after="30"/>
        <w:ind w:left="115" w:hanging="115"/>
      </w:pPr>
      <w:r>
        <w:rPr>
          <w:rFonts w:ascii="Calibri" w:hAnsi="Calibri"/>
          <w:sz w:val="18"/>
        </w:rPr>
        <w:t>03 30-Day Satisfaction Guarantee &amp; Refund Policy.docx</w:t>
      </w:r>
    </w:p>
    <w:tbl>
      <w:tblPr>
        <w:tblW w:type="auto" w:w="0"/>
        <w:jc w:val="center"/>
        <w:tblLook w:firstColumn="1" w:firstRow="1" w:lastColumn="0" w:lastRow="0" w:noHBand="0" w:noVBand="1" w:val="04A0"/>
      </w:tblPr>
      <w:tblGrid>
        <w:gridCol w:w="10454"/>
      </w:tblGrid>
      <w:tr>
        <w:tc>
          <w:tcPr>
            <w:tcW w:type="dxa" w:w="10454"/>
            <w:shd w:fill="F4EEDC"/>
          </w:tcPr>
          <w:p>
            <w:pPr>
              <w:spacing w:after="0"/>
            </w:pPr>
            <w:r/>
            <w:r>
              <w:rPr>
                <w:rFonts w:ascii="Calibri" w:hAnsi="Calibri"/>
                <w:b/>
                <w:color w:val="203654"/>
                <w:sz w:val="22"/>
              </w:rPr>
              <w:t>IMPORTANT USE NOTE</w:t>
            </w:r>
          </w:p>
        </w:tc>
      </w:tr>
    </w:tbl>
    <w:p>
      <w:pPr>
        <w:spacing w:after="0"/>
      </w:pPr>
    </w:p>
    <w:p>
      <w:pPr>
        <w:jc w:val="center"/>
      </w:pPr>
      <w:r>
        <w:t>EXOS is a decision-support and operating system. Legal, tax, accounting, valuation, investment, financing, insurance, regulatory, and binding transaction matters should be reviewed by appropriately qualified professional advisors.</w:t>
      </w:r>
    </w:p>
    <w:sectPr w:rsidR="00FC693F" w:rsidRPr="0006063C" w:rsidSect="00034616">
      <w:headerReference w:type="default" r:id="rId9"/>
      <w:footerReference w:type="default" r:id="rId10"/>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737373"/>
        <w:sz w:val="16"/>
      </w:rPr>
      <w:t xml:space="preserve">RUBI Business Playbooks | </w:t>
    </w:r>
    <w:r>
      <w:rPr>
        <w:rFonts w:ascii="Calibri" w:hAnsi="Calibri"/>
        <w:i/>
        <w:color w:val="737373"/>
        <w:sz w:val="16"/>
      </w:rPr>
      <w:t>Helping People &amp; Businesses Succeed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37373"/>
        <w:sz w:val="16"/>
      </w:rPr>
      <w:t>RUBI Business Playbooks | EXOS - Founder's Exit Strategy Operating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pPr>
    <w:rPr>
      <w:rFonts w:ascii="Calibri" w:hAnsi="Calibri"/>
      <w:color w:val="232D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